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E5D0F" w14:textId="7408F854" w:rsidR="004E6CB0" w:rsidRDefault="004E6CB0" w:rsidP="004E6CB0">
      <w:pPr>
        <w:jc w:val="center"/>
        <w:rPr>
          <w:b/>
          <w:bCs/>
          <w:color w:val="000000" w:themeColor="text1"/>
          <w:sz w:val="22"/>
          <w:szCs w:val="22"/>
          <w:u w:val="single"/>
        </w:rPr>
      </w:pPr>
      <w:bookmarkStart w:id="0" w:name="_GoBack"/>
      <w:bookmarkEnd w:id="0"/>
      <w:r w:rsidRPr="004E6CB0">
        <w:rPr>
          <w:b/>
          <w:bCs/>
          <w:color w:val="000000" w:themeColor="text1"/>
          <w:sz w:val="22"/>
          <w:szCs w:val="22"/>
          <w:u w:val="single"/>
        </w:rPr>
        <w:t>M</w:t>
      </w:r>
      <w:r w:rsidRPr="004E6CB0">
        <w:rPr>
          <w:b/>
          <w:bCs/>
          <w:color w:val="000000" w:themeColor="text1"/>
          <w:sz w:val="22"/>
          <w:szCs w:val="22"/>
        </w:rPr>
        <w:t xml:space="preserve"> </w:t>
      </w:r>
      <w:r w:rsidRPr="004E6CB0">
        <w:rPr>
          <w:b/>
          <w:bCs/>
          <w:color w:val="000000" w:themeColor="text1"/>
          <w:sz w:val="22"/>
          <w:szCs w:val="22"/>
          <w:u w:val="single"/>
        </w:rPr>
        <w:t>E</w:t>
      </w:r>
      <w:r w:rsidRPr="004E6CB0">
        <w:rPr>
          <w:b/>
          <w:bCs/>
          <w:color w:val="000000" w:themeColor="text1"/>
          <w:sz w:val="22"/>
          <w:szCs w:val="22"/>
        </w:rPr>
        <w:t xml:space="preserve"> </w:t>
      </w:r>
      <w:r w:rsidRPr="004E6CB0">
        <w:rPr>
          <w:b/>
          <w:bCs/>
          <w:color w:val="000000" w:themeColor="text1"/>
          <w:sz w:val="22"/>
          <w:szCs w:val="22"/>
          <w:u w:val="single"/>
        </w:rPr>
        <w:t>M</w:t>
      </w:r>
      <w:r w:rsidRPr="004E6CB0">
        <w:rPr>
          <w:b/>
          <w:bCs/>
          <w:color w:val="000000" w:themeColor="text1"/>
          <w:sz w:val="22"/>
          <w:szCs w:val="22"/>
        </w:rPr>
        <w:t xml:space="preserve"> </w:t>
      </w:r>
      <w:r w:rsidRPr="004E6CB0">
        <w:rPr>
          <w:b/>
          <w:bCs/>
          <w:color w:val="000000" w:themeColor="text1"/>
          <w:sz w:val="22"/>
          <w:szCs w:val="22"/>
          <w:u w:val="single"/>
        </w:rPr>
        <w:t>O</w:t>
      </w:r>
      <w:r w:rsidRPr="004E6CB0">
        <w:rPr>
          <w:b/>
          <w:bCs/>
          <w:color w:val="000000" w:themeColor="text1"/>
          <w:sz w:val="22"/>
          <w:szCs w:val="22"/>
        </w:rPr>
        <w:t xml:space="preserve"> </w:t>
      </w:r>
      <w:r w:rsidRPr="004E6CB0">
        <w:rPr>
          <w:b/>
          <w:bCs/>
          <w:color w:val="000000" w:themeColor="text1"/>
          <w:sz w:val="22"/>
          <w:szCs w:val="22"/>
          <w:u w:val="single"/>
        </w:rPr>
        <w:t>R</w:t>
      </w:r>
      <w:r w:rsidRPr="004E6CB0">
        <w:rPr>
          <w:b/>
          <w:bCs/>
          <w:color w:val="000000" w:themeColor="text1"/>
          <w:sz w:val="22"/>
          <w:szCs w:val="22"/>
        </w:rPr>
        <w:t xml:space="preserve"> </w:t>
      </w:r>
      <w:r w:rsidRPr="004E6CB0">
        <w:rPr>
          <w:b/>
          <w:bCs/>
          <w:color w:val="000000" w:themeColor="text1"/>
          <w:sz w:val="22"/>
          <w:szCs w:val="22"/>
          <w:u w:val="single"/>
        </w:rPr>
        <w:t>A</w:t>
      </w:r>
      <w:r w:rsidRPr="004E6CB0">
        <w:rPr>
          <w:b/>
          <w:bCs/>
          <w:color w:val="000000" w:themeColor="text1"/>
          <w:sz w:val="22"/>
          <w:szCs w:val="22"/>
        </w:rPr>
        <w:t xml:space="preserve"> </w:t>
      </w:r>
      <w:r w:rsidRPr="004E6CB0">
        <w:rPr>
          <w:b/>
          <w:bCs/>
          <w:color w:val="000000" w:themeColor="text1"/>
          <w:sz w:val="22"/>
          <w:szCs w:val="22"/>
          <w:u w:val="single"/>
        </w:rPr>
        <w:t>N</w:t>
      </w:r>
      <w:r w:rsidRPr="004E6CB0">
        <w:rPr>
          <w:b/>
          <w:bCs/>
          <w:color w:val="000000" w:themeColor="text1"/>
          <w:sz w:val="22"/>
          <w:szCs w:val="22"/>
        </w:rPr>
        <w:t xml:space="preserve"> </w:t>
      </w:r>
      <w:r w:rsidRPr="004E6CB0">
        <w:rPr>
          <w:b/>
          <w:bCs/>
          <w:color w:val="000000" w:themeColor="text1"/>
          <w:sz w:val="22"/>
          <w:szCs w:val="22"/>
          <w:u w:val="single"/>
        </w:rPr>
        <w:t>D</w:t>
      </w:r>
      <w:r w:rsidRPr="004E6CB0">
        <w:rPr>
          <w:b/>
          <w:bCs/>
          <w:color w:val="000000" w:themeColor="text1"/>
          <w:sz w:val="22"/>
          <w:szCs w:val="22"/>
        </w:rPr>
        <w:t xml:space="preserve"> </w:t>
      </w:r>
      <w:r w:rsidRPr="004E6CB0">
        <w:rPr>
          <w:b/>
          <w:bCs/>
          <w:color w:val="000000" w:themeColor="text1"/>
          <w:sz w:val="22"/>
          <w:szCs w:val="22"/>
          <w:u w:val="single"/>
        </w:rPr>
        <w:t>U</w:t>
      </w:r>
      <w:r w:rsidRPr="004E6CB0">
        <w:rPr>
          <w:b/>
          <w:bCs/>
          <w:color w:val="000000" w:themeColor="text1"/>
          <w:sz w:val="22"/>
          <w:szCs w:val="22"/>
        </w:rPr>
        <w:t xml:space="preserve"> </w:t>
      </w:r>
      <w:r w:rsidRPr="004E6CB0">
        <w:rPr>
          <w:b/>
          <w:bCs/>
          <w:color w:val="000000" w:themeColor="text1"/>
          <w:sz w:val="22"/>
          <w:szCs w:val="22"/>
          <w:u w:val="single"/>
        </w:rPr>
        <w:t>M</w:t>
      </w:r>
    </w:p>
    <w:p w14:paraId="42FDEC53" w14:textId="58C0BE4E" w:rsidR="004E6CB0" w:rsidRDefault="004E6CB0" w:rsidP="004E6CB0">
      <w:pPr>
        <w:rPr>
          <w:b/>
          <w:bCs/>
          <w:color w:val="000000" w:themeColor="text1"/>
          <w:sz w:val="22"/>
          <w:szCs w:val="22"/>
        </w:rPr>
      </w:pPr>
    </w:p>
    <w:p w14:paraId="755194E4" w14:textId="12E357DD" w:rsidR="004E6CB0" w:rsidRDefault="004E6CB0" w:rsidP="004E6CB0">
      <w:pPr>
        <w:rPr>
          <w:color w:val="000000" w:themeColor="text1"/>
          <w:sz w:val="22"/>
          <w:szCs w:val="22"/>
        </w:rPr>
      </w:pPr>
      <w:r>
        <w:rPr>
          <w:b/>
          <w:bCs/>
          <w:color w:val="000000" w:themeColor="text1"/>
          <w:sz w:val="22"/>
          <w:szCs w:val="22"/>
        </w:rPr>
        <w:t>To:</w:t>
      </w:r>
      <w:r>
        <w:rPr>
          <w:b/>
          <w:bCs/>
          <w:color w:val="000000" w:themeColor="text1"/>
          <w:sz w:val="22"/>
          <w:szCs w:val="22"/>
        </w:rPr>
        <w:tab/>
      </w:r>
      <w:r>
        <w:rPr>
          <w:b/>
          <w:bCs/>
          <w:color w:val="000000" w:themeColor="text1"/>
          <w:sz w:val="22"/>
          <w:szCs w:val="22"/>
        </w:rPr>
        <w:tab/>
      </w:r>
      <w:r>
        <w:rPr>
          <w:color w:val="000000" w:themeColor="text1"/>
          <w:sz w:val="22"/>
          <w:szCs w:val="22"/>
        </w:rPr>
        <w:t>David Walters, Alabama Adult Education State Director</w:t>
      </w:r>
    </w:p>
    <w:p w14:paraId="32E324D9" w14:textId="5AE5D9A7" w:rsidR="004E6CB0" w:rsidRDefault="004E6CB0" w:rsidP="004E6CB0">
      <w:pPr>
        <w:rPr>
          <w:color w:val="000000" w:themeColor="text1"/>
          <w:sz w:val="22"/>
          <w:szCs w:val="22"/>
        </w:rPr>
      </w:pPr>
      <w:r w:rsidRPr="004E6CB0">
        <w:rPr>
          <w:b/>
          <w:bCs/>
          <w:color w:val="000000" w:themeColor="text1"/>
          <w:sz w:val="22"/>
          <w:szCs w:val="22"/>
        </w:rPr>
        <w:t>From:</w:t>
      </w:r>
      <w:r>
        <w:rPr>
          <w:color w:val="000000" w:themeColor="text1"/>
          <w:sz w:val="22"/>
          <w:szCs w:val="22"/>
        </w:rPr>
        <w:tab/>
      </w:r>
      <w:r>
        <w:rPr>
          <w:color w:val="000000" w:themeColor="text1"/>
          <w:sz w:val="22"/>
          <w:szCs w:val="22"/>
        </w:rPr>
        <w:tab/>
        <w:t>Nick Moore, Director, Governor’s Office of Education and Workforce Transformation</w:t>
      </w:r>
    </w:p>
    <w:p w14:paraId="3EDBB129" w14:textId="3D2B0DEF" w:rsidR="004E6CB0" w:rsidRDefault="004E6CB0" w:rsidP="004E6CB0">
      <w:pPr>
        <w:rPr>
          <w:color w:val="000000" w:themeColor="text1"/>
          <w:sz w:val="22"/>
          <w:szCs w:val="22"/>
        </w:rPr>
      </w:pPr>
      <w:r w:rsidRPr="004E6CB0">
        <w:rPr>
          <w:b/>
          <w:bCs/>
          <w:color w:val="000000" w:themeColor="text1"/>
          <w:sz w:val="22"/>
          <w:szCs w:val="22"/>
        </w:rPr>
        <w:t>Date:</w:t>
      </w:r>
      <w:r>
        <w:rPr>
          <w:color w:val="000000" w:themeColor="text1"/>
          <w:sz w:val="22"/>
          <w:szCs w:val="22"/>
        </w:rPr>
        <w:tab/>
      </w:r>
      <w:r>
        <w:rPr>
          <w:color w:val="000000" w:themeColor="text1"/>
          <w:sz w:val="22"/>
          <w:szCs w:val="22"/>
        </w:rPr>
        <w:tab/>
        <w:t>8 March 2021</w:t>
      </w:r>
    </w:p>
    <w:p w14:paraId="37C255A7" w14:textId="73611E73" w:rsidR="004E6CB0" w:rsidRPr="004E6CB0" w:rsidRDefault="004E6CB0" w:rsidP="004E6CB0">
      <w:pPr>
        <w:rPr>
          <w:color w:val="000000" w:themeColor="text1"/>
          <w:sz w:val="22"/>
          <w:szCs w:val="22"/>
        </w:rPr>
      </w:pPr>
      <w:r w:rsidRPr="004E6CB0">
        <w:rPr>
          <w:b/>
          <w:bCs/>
          <w:color w:val="000000" w:themeColor="text1"/>
          <w:sz w:val="22"/>
          <w:szCs w:val="22"/>
        </w:rPr>
        <w:t>Subject:</w:t>
      </w:r>
      <w:r>
        <w:rPr>
          <w:color w:val="000000" w:themeColor="text1"/>
          <w:sz w:val="22"/>
          <w:szCs w:val="22"/>
        </w:rPr>
        <w:t xml:space="preserve"> </w:t>
      </w:r>
      <w:r>
        <w:rPr>
          <w:color w:val="000000" w:themeColor="text1"/>
          <w:sz w:val="22"/>
          <w:szCs w:val="22"/>
        </w:rPr>
        <w:tab/>
      </w:r>
      <w:r w:rsidRPr="004E6CB0">
        <w:rPr>
          <w:b/>
          <w:bCs/>
          <w:color w:val="000000" w:themeColor="text1"/>
          <w:sz w:val="22"/>
          <w:szCs w:val="22"/>
        </w:rPr>
        <w:t>Ability to Benefit (ATB)</w:t>
      </w:r>
    </w:p>
    <w:p w14:paraId="4FA27F1C" w14:textId="3A47CA08" w:rsidR="00FB43BD" w:rsidRDefault="00E84FA2" w:rsidP="00E84FA2">
      <w:pPr>
        <w:rPr>
          <w:color w:val="000000" w:themeColor="text1"/>
          <w:spacing w:val="3"/>
          <w:sz w:val="22"/>
          <w:szCs w:val="22"/>
        </w:rPr>
      </w:pPr>
      <w:r w:rsidRPr="00E84FA2">
        <w:rPr>
          <w:color w:val="000000" w:themeColor="text1"/>
          <w:sz w:val="22"/>
          <w:szCs w:val="22"/>
        </w:rPr>
        <w:t>In December 2014, section 484(d) of the Higher Education Act of 1965, as amended (HEA), was changed to allow a student who does not have a high school diploma (or its recognized equivalent), or who did not complete a secondary school education in a homeschool setting, to be eligible for Title IV, HEA student assistance (Title IV aid) through one of the ability to benefit (ATB) alternatives, but only if the student is enrolled in an "eligible career pathway program.”</w:t>
      </w:r>
      <w:r>
        <w:rPr>
          <w:rStyle w:val="FootnoteReference"/>
          <w:color w:val="000000" w:themeColor="text1"/>
          <w:sz w:val="22"/>
          <w:szCs w:val="22"/>
        </w:rPr>
        <w:footnoteReference w:id="1"/>
      </w:r>
      <w:r w:rsidRPr="00E84FA2">
        <w:rPr>
          <w:color w:val="000000" w:themeColor="text1"/>
          <w:sz w:val="22"/>
          <w:szCs w:val="22"/>
        </w:rPr>
        <w:t xml:space="preserve"> </w:t>
      </w:r>
      <w:r w:rsidR="00FB43BD" w:rsidRPr="00E84FA2">
        <w:rPr>
          <w:color w:val="000000" w:themeColor="text1"/>
          <w:sz w:val="22"/>
          <w:szCs w:val="22"/>
        </w:rPr>
        <w:t>Changes were also made to provide that students who first enrolled in any Title IV eligible postsecondary program on or after July 1, 2015, and who gained eligibility under one of the ATB alternatives for enrollment in an eligible career pathway program, would have their Federal Pell Grant award determined under alternative career pathway Pell Grant disbursement schedules. The Department provided guidance about these changes in Dear Colleague Letter GEN-15-09 published on May 22, 2015</w:t>
      </w:r>
      <w:r w:rsidR="00FB43BD">
        <w:rPr>
          <w:color w:val="000000" w:themeColor="text1"/>
          <w:sz w:val="22"/>
          <w:szCs w:val="22"/>
        </w:rPr>
        <w:t xml:space="preserve">. </w:t>
      </w:r>
      <w:r w:rsidR="00CF64D3" w:rsidRPr="004537DC">
        <w:rPr>
          <w:color w:val="000000" w:themeColor="text1"/>
          <w:spacing w:val="3"/>
          <w:sz w:val="22"/>
          <w:szCs w:val="22"/>
        </w:rPr>
        <w:t>ATB allows low-skilled individuals to access necessary workforce training and education that can help lift them out of poverty. It does so by allowing individuals without a high school diploma or equivalent to qualify for federal financial aid for postsecondary education when they participate in an eligible career pathway.</w:t>
      </w:r>
      <w:r w:rsidR="00CF64D3">
        <w:rPr>
          <w:rStyle w:val="FootnoteReference"/>
          <w:color w:val="000000" w:themeColor="text1"/>
          <w:spacing w:val="3"/>
          <w:sz w:val="22"/>
          <w:szCs w:val="22"/>
        </w:rPr>
        <w:footnoteReference w:id="2"/>
      </w:r>
      <w:r w:rsidR="00CF64D3">
        <w:rPr>
          <w:color w:val="000000" w:themeColor="text1"/>
          <w:spacing w:val="3"/>
          <w:sz w:val="22"/>
          <w:szCs w:val="22"/>
        </w:rPr>
        <w:t xml:space="preserve"> </w:t>
      </w:r>
      <w:r w:rsidR="00FB43BD" w:rsidRPr="00E84FA2">
        <w:rPr>
          <w:color w:val="000000" w:themeColor="text1"/>
          <w:sz w:val="22"/>
          <w:szCs w:val="22"/>
        </w:rPr>
        <w:t>On December 18, 2015, the President signed the Consolidated Appropriations Act of 2016 (Pub. L. 114-113), which amended section 401(b)(2)(A)(ii) of the HEA.</w:t>
      </w:r>
      <w:r w:rsidR="00FB43BD" w:rsidRPr="00431E0C">
        <w:rPr>
          <w:rStyle w:val="FootnoteReference"/>
          <w:color w:val="000000" w:themeColor="text1"/>
          <w:spacing w:val="3"/>
          <w:sz w:val="22"/>
          <w:szCs w:val="22"/>
        </w:rPr>
        <w:footnoteReference w:id="3"/>
      </w:r>
      <w:r w:rsidR="00FB43BD" w:rsidRPr="00E84FA2">
        <w:rPr>
          <w:color w:val="000000" w:themeColor="text1"/>
          <w:sz w:val="22"/>
          <w:szCs w:val="22"/>
        </w:rPr>
        <w:t xml:space="preserve"> Dear Colleague Letter GEN-1</w:t>
      </w:r>
      <w:r w:rsidR="00FB43BD">
        <w:rPr>
          <w:color w:val="000000" w:themeColor="text1"/>
          <w:sz w:val="22"/>
          <w:szCs w:val="22"/>
        </w:rPr>
        <w:t>6</w:t>
      </w:r>
      <w:r w:rsidR="00FB43BD" w:rsidRPr="00E84FA2">
        <w:rPr>
          <w:color w:val="000000" w:themeColor="text1"/>
          <w:sz w:val="22"/>
          <w:szCs w:val="22"/>
        </w:rPr>
        <w:t>-09 describes those changes, including:</w:t>
      </w:r>
      <w:r w:rsidR="00FB43BD">
        <w:rPr>
          <w:color w:val="000000" w:themeColor="text1"/>
          <w:sz w:val="22"/>
          <w:szCs w:val="22"/>
        </w:rPr>
        <w:t xml:space="preserve"> (1) a</w:t>
      </w:r>
      <w:r w:rsidR="00FB43BD" w:rsidRPr="00E84FA2">
        <w:rPr>
          <w:color w:val="000000" w:themeColor="text1"/>
          <w:sz w:val="22"/>
          <w:szCs w:val="22"/>
        </w:rPr>
        <w:t xml:space="preserve"> revised definition of an eligible career pathway program; and</w:t>
      </w:r>
      <w:r w:rsidR="00FB43BD">
        <w:rPr>
          <w:color w:val="000000" w:themeColor="text1"/>
          <w:sz w:val="22"/>
          <w:szCs w:val="22"/>
        </w:rPr>
        <w:t xml:space="preserve"> (2) t</w:t>
      </w:r>
      <w:r w:rsidR="00FB43BD" w:rsidRPr="00E84FA2">
        <w:rPr>
          <w:color w:val="000000" w:themeColor="text1"/>
          <w:sz w:val="22"/>
          <w:szCs w:val="22"/>
        </w:rPr>
        <w:t>he elimination of the career pathway alternative Pell Grant disbursement schedules.</w:t>
      </w:r>
      <w:r w:rsidR="00FB43BD">
        <w:rPr>
          <w:rStyle w:val="FootnoteReference"/>
          <w:color w:val="000000" w:themeColor="text1"/>
          <w:sz w:val="22"/>
          <w:szCs w:val="22"/>
        </w:rPr>
        <w:footnoteReference w:id="4"/>
      </w:r>
      <w:r w:rsidR="00FB43BD">
        <w:rPr>
          <w:color w:val="000000" w:themeColor="text1"/>
          <w:sz w:val="22"/>
          <w:szCs w:val="22"/>
        </w:rPr>
        <w:t xml:space="preserve"> S</w:t>
      </w:r>
      <w:r w:rsidR="00260309" w:rsidRPr="004537DC">
        <w:rPr>
          <w:color w:val="000000" w:themeColor="text1"/>
          <w:spacing w:val="3"/>
          <w:sz w:val="22"/>
          <w:szCs w:val="22"/>
        </w:rPr>
        <w:t>tudents who participate in an ATB alternative are now eligible for the full Pell award</w:t>
      </w:r>
      <w:r w:rsidR="00260309">
        <w:rPr>
          <w:color w:val="000000" w:themeColor="text1"/>
          <w:spacing w:val="3"/>
          <w:sz w:val="22"/>
          <w:szCs w:val="22"/>
        </w:rPr>
        <w:t xml:space="preserve">. </w:t>
      </w:r>
      <w:r w:rsidR="00260309" w:rsidRPr="004537DC">
        <w:rPr>
          <w:color w:val="000000" w:themeColor="text1"/>
          <w:spacing w:val="3"/>
          <w:sz w:val="22"/>
          <w:szCs w:val="22"/>
        </w:rPr>
        <w:t>Formerly, ATB students were eligible for a reduced award, which created an unfair and unprecedented two-tier Pell eligibility standard.</w:t>
      </w:r>
      <w:r w:rsidR="00260309">
        <w:rPr>
          <w:color w:val="000000" w:themeColor="text1"/>
          <w:spacing w:val="3"/>
          <w:sz w:val="22"/>
          <w:szCs w:val="22"/>
        </w:rPr>
        <w:t xml:space="preserve"> </w:t>
      </w:r>
      <w:r w:rsidR="00FB43BD">
        <w:rPr>
          <w:color w:val="000000" w:themeColor="text1"/>
          <w:spacing w:val="3"/>
          <w:sz w:val="22"/>
          <w:szCs w:val="22"/>
        </w:rPr>
        <w:t>Th</w:t>
      </w:r>
      <w:r w:rsidR="00260309" w:rsidRPr="004537DC">
        <w:rPr>
          <w:color w:val="000000" w:themeColor="text1"/>
          <w:spacing w:val="3"/>
          <w:sz w:val="22"/>
          <w:szCs w:val="22"/>
        </w:rPr>
        <w:t>e new ATB eligible career pathway definition mirrors the Workforce Innovation and Opportunity Act (WIOA)</w:t>
      </w:r>
      <w:r w:rsidR="00260309">
        <w:rPr>
          <w:rStyle w:val="FootnoteReference"/>
          <w:color w:val="000000" w:themeColor="text1"/>
          <w:spacing w:val="3"/>
          <w:sz w:val="22"/>
          <w:szCs w:val="22"/>
        </w:rPr>
        <w:footnoteReference w:id="5"/>
      </w:r>
      <w:r w:rsidR="00260309" w:rsidRPr="004537DC">
        <w:rPr>
          <w:color w:val="000000" w:themeColor="text1"/>
          <w:spacing w:val="3"/>
          <w:sz w:val="22"/>
          <w:szCs w:val="22"/>
        </w:rPr>
        <w:t>, aligning the career pathway development and implementation underway for WIOA with access to federal financial aid. The previous standard required students to be “concurrently” enrolled in both adult education and postsecondary programs, and it did not well define what could be characterized as adult education. The new definition provides that the career pathway “enables an individual to attain” a high school diploma or equivalency. This clarifies the intent of ATB to support students without a high school diploma or equivalency in both secondary and postsecondary credential attainment.</w:t>
      </w:r>
      <w:r w:rsidR="00260309">
        <w:rPr>
          <w:color w:val="000000" w:themeColor="text1"/>
          <w:spacing w:val="3"/>
          <w:sz w:val="22"/>
          <w:szCs w:val="22"/>
        </w:rPr>
        <w:t xml:space="preserve"> </w:t>
      </w:r>
    </w:p>
    <w:p w14:paraId="35B30B08" w14:textId="77777777" w:rsidR="00FB43BD" w:rsidRDefault="00FB43BD" w:rsidP="00E84FA2">
      <w:pPr>
        <w:rPr>
          <w:color w:val="000000" w:themeColor="text1"/>
          <w:spacing w:val="3"/>
          <w:sz w:val="22"/>
          <w:szCs w:val="22"/>
        </w:rPr>
      </w:pPr>
    </w:p>
    <w:p w14:paraId="3DE163BE" w14:textId="12B5D073" w:rsidR="00E84FA2" w:rsidRPr="00FB43BD" w:rsidRDefault="00CF64D3" w:rsidP="00E84FA2">
      <w:pPr>
        <w:rPr>
          <w:color w:val="000000" w:themeColor="text1"/>
          <w:sz w:val="22"/>
          <w:szCs w:val="22"/>
        </w:rPr>
      </w:pPr>
      <w:r w:rsidRPr="00431E0C">
        <w:rPr>
          <w:color w:val="000000" w:themeColor="text1"/>
          <w:sz w:val="22"/>
          <w:szCs w:val="22"/>
        </w:rPr>
        <w:t>To receive aid the student must apply for financial aid (FAFSA) and be Title IV eligible except for having earned a secondary credential. They must also prove ability to benefit by: (1)</w:t>
      </w:r>
      <w:r w:rsidRPr="00431E0C">
        <w:rPr>
          <w:rFonts w:eastAsia="SymbolMT"/>
          <w:color w:val="000000" w:themeColor="text1"/>
          <w:sz w:val="22"/>
          <w:szCs w:val="22"/>
        </w:rPr>
        <w:t xml:space="preserve"> completing 6 college-level credits (or equivalent) applicable toward a postsecondary certificate or degree; or (2) </w:t>
      </w:r>
      <w:r w:rsidRPr="00431E0C">
        <w:rPr>
          <w:color w:val="000000" w:themeColor="text1"/>
          <w:sz w:val="22"/>
          <w:szCs w:val="22"/>
        </w:rPr>
        <w:t>p</w:t>
      </w:r>
      <w:r w:rsidRPr="00431E0C">
        <w:rPr>
          <w:rFonts w:eastAsia="SymbolMT"/>
          <w:color w:val="000000" w:themeColor="text1"/>
          <w:sz w:val="22"/>
          <w:szCs w:val="22"/>
        </w:rPr>
        <w:t xml:space="preserve">assing a Department of Education approved exam; or </w:t>
      </w:r>
      <w:r w:rsidRPr="00431E0C">
        <w:rPr>
          <w:color w:val="000000" w:themeColor="text1"/>
          <w:sz w:val="22"/>
          <w:szCs w:val="22"/>
        </w:rPr>
        <w:t>(3) c</w:t>
      </w:r>
      <w:r w:rsidRPr="00431E0C">
        <w:rPr>
          <w:rFonts w:eastAsia="SymbolMT"/>
          <w:color w:val="000000" w:themeColor="text1"/>
          <w:sz w:val="22"/>
          <w:szCs w:val="22"/>
        </w:rPr>
        <w:t xml:space="preserve">ompleting a state process approved by the Secretary of </w:t>
      </w:r>
      <w:r w:rsidRPr="00431E0C">
        <w:rPr>
          <w:rFonts w:eastAsia="SymbolMT"/>
          <w:color w:val="000000" w:themeColor="text1"/>
          <w:sz w:val="22"/>
          <w:szCs w:val="22"/>
        </w:rPr>
        <w:lastRenderedPageBreak/>
        <w:t>Education.</w:t>
      </w:r>
      <w:r w:rsidR="00FB43BD" w:rsidRPr="00431E0C">
        <w:rPr>
          <w:rStyle w:val="FootnoteReference"/>
          <w:rFonts w:eastAsia="SymbolMT"/>
          <w:color w:val="000000" w:themeColor="text1"/>
          <w:sz w:val="22"/>
          <w:szCs w:val="22"/>
        </w:rPr>
        <w:footnoteReference w:id="6"/>
      </w:r>
      <w:r w:rsidR="00FB43BD" w:rsidRPr="00431E0C">
        <w:rPr>
          <w:rFonts w:eastAsia="SymbolMT"/>
          <w:color w:val="000000" w:themeColor="text1"/>
          <w:sz w:val="22"/>
          <w:szCs w:val="22"/>
        </w:rPr>
        <w:t xml:space="preserve"> </w:t>
      </w:r>
      <w:r w:rsidRPr="00431E0C">
        <w:rPr>
          <w:color w:val="000000" w:themeColor="text1"/>
          <w:sz w:val="22"/>
          <w:szCs w:val="22"/>
          <w:shd w:val="clear" w:color="auto" w:fill="FFFFFF"/>
        </w:rPr>
        <w:t xml:space="preserve">The </w:t>
      </w:r>
      <w:r w:rsidRPr="00781966">
        <w:rPr>
          <w:color w:val="000000" w:themeColor="text1"/>
          <w:sz w:val="22"/>
          <w:szCs w:val="22"/>
          <w:shd w:val="clear" w:color="auto" w:fill="FFFFFF"/>
        </w:rPr>
        <w:t>Consolidated Appropriations Act of 2021</w:t>
      </w:r>
      <w:r w:rsidRPr="00781966">
        <w:rPr>
          <w:rStyle w:val="FootnoteReference"/>
          <w:color w:val="000000" w:themeColor="text1"/>
          <w:sz w:val="22"/>
          <w:szCs w:val="22"/>
          <w:shd w:val="clear" w:color="auto" w:fill="FFFFFF"/>
        </w:rPr>
        <w:footnoteReference w:id="7"/>
      </w:r>
      <w:r w:rsidRPr="00781966">
        <w:rPr>
          <w:color w:val="000000" w:themeColor="text1"/>
          <w:sz w:val="22"/>
          <w:szCs w:val="22"/>
          <w:shd w:val="clear" w:color="auto" w:fill="FFFFFF"/>
        </w:rPr>
        <w:t xml:space="preserve"> </w:t>
      </w:r>
      <w:r w:rsidRPr="00431E0C">
        <w:rPr>
          <w:color w:val="000000" w:themeColor="text1"/>
          <w:sz w:val="22"/>
          <w:szCs w:val="22"/>
          <w:shd w:val="clear" w:color="auto" w:fill="FFFFFF"/>
        </w:rPr>
        <w:t>direct</w:t>
      </w:r>
      <w:r>
        <w:rPr>
          <w:color w:val="000000" w:themeColor="text1"/>
          <w:sz w:val="22"/>
          <w:szCs w:val="22"/>
          <w:shd w:val="clear" w:color="auto" w:fill="FFFFFF"/>
        </w:rPr>
        <w:t>ed</w:t>
      </w:r>
      <w:r w:rsidRPr="00431E0C">
        <w:rPr>
          <w:color w:val="000000" w:themeColor="text1"/>
          <w:sz w:val="22"/>
          <w:szCs w:val="22"/>
          <w:shd w:val="clear" w:color="auto" w:fill="FFFFFF"/>
        </w:rPr>
        <w:t xml:space="preserve"> the Secretary </w:t>
      </w:r>
      <w:r w:rsidRPr="00781966">
        <w:rPr>
          <w:color w:val="000000" w:themeColor="text1"/>
          <w:sz w:val="22"/>
          <w:szCs w:val="22"/>
          <w:shd w:val="clear" w:color="auto" w:fill="FFFFFF"/>
        </w:rPr>
        <w:t xml:space="preserve">of the U.S. Department of Education </w:t>
      </w:r>
      <w:r w:rsidRPr="00431E0C">
        <w:rPr>
          <w:color w:val="000000" w:themeColor="text1"/>
          <w:sz w:val="22"/>
          <w:szCs w:val="22"/>
          <w:shd w:val="clear" w:color="auto" w:fill="FFFFFF"/>
        </w:rPr>
        <w:t xml:space="preserve">to issue guidance within 90 days </w:t>
      </w:r>
      <w:r>
        <w:rPr>
          <w:color w:val="000000" w:themeColor="text1"/>
          <w:sz w:val="22"/>
          <w:szCs w:val="22"/>
          <w:shd w:val="clear" w:color="auto" w:fill="FFFFFF"/>
        </w:rPr>
        <w:t>to</w:t>
      </w:r>
      <w:r w:rsidRPr="00431E0C">
        <w:rPr>
          <w:color w:val="000000" w:themeColor="text1"/>
          <w:sz w:val="22"/>
          <w:szCs w:val="22"/>
          <w:shd w:val="clear" w:color="auto" w:fill="FFFFFF"/>
        </w:rPr>
        <w:t xml:space="preserve"> serves as a simple and clear resource for implementing Ability to Benefit at institutions of higher education (IHEs ).</w:t>
      </w:r>
      <w:r>
        <w:rPr>
          <w:rStyle w:val="FootnoteReference"/>
          <w:color w:val="000000" w:themeColor="text1"/>
          <w:sz w:val="22"/>
          <w:szCs w:val="22"/>
          <w:shd w:val="clear" w:color="auto" w:fill="FFFFFF"/>
        </w:rPr>
        <w:footnoteReference w:id="8"/>
      </w:r>
      <w:r>
        <w:rPr>
          <w:color w:val="000000" w:themeColor="text1"/>
          <w:sz w:val="22"/>
          <w:szCs w:val="22"/>
          <w:shd w:val="clear" w:color="auto" w:fill="FFFFFF"/>
        </w:rPr>
        <w:t xml:space="preserve"> On January 15, 2021, the U.S. Department of Education Office of Postsecondary Education issued an Ability to Benefit frequently asked questions document.</w:t>
      </w:r>
      <w:r>
        <w:rPr>
          <w:rStyle w:val="FootnoteReference"/>
          <w:color w:val="000000" w:themeColor="text1"/>
          <w:sz w:val="22"/>
          <w:szCs w:val="22"/>
          <w:shd w:val="clear" w:color="auto" w:fill="FFFFFF"/>
        </w:rPr>
        <w:footnoteReference w:id="9"/>
      </w:r>
      <w:r>
        <w:rPr>
          <w:color w:val="000000" w:themeColor="text1"/>
          <w:sz w:val="22"/>
          <w:szCs w:val="22"/>
          <w:shd w:val="clear" w:color="auto" w:fill="FFFFFF"/>
        </w:rPr>
        <w:t xml:space="preserve"> </w:t>
      </w:r>
      <w:r w:rsidR="00E84FA2" w:rsidRPr="00953B5B">
        <w:rPr>
          <w:bCs/>
          <w:color w:val="000000" w:themeColor="text1"/>
          <w:sz w:val="22"/>
          <w:szCs w:val="22"/>
        </w:rPr>
        <w:t>As noted in Dear Colleague Letter GEN-16-09, the</w:t>
      </w:r>
      <w:r w:rsidR="00E84FA2" w:rsidRPr="00953B5B">
        <w:rPr>
          <w:b/>
          <w:bCs/>
          <w:color w:val="000000" w:themeColor="text1"/>
          <w:sz w:val="22"/>
          <w:szCs w:val="22"/>
        </w:rPr>
        <w:t xml:space="preserve"> </w:t>
      </w:r>
      <w:r w:rsidR="00E84FA2" w:rsidRPr="00953B5B">
        <w:rPr>
          <w:color w:val="000000" w:themeColor="text1"/>
          <w:sz w:val="22"/>
          <w:szCs w:val="22"/>
        </w:rPr>
        <w:t>definition of an eligible career pathway program aligns with how career pathway is defined in section 3 of the Workforce Innovation and Opportunity Act (29 U.S.C. 3102(7)).  See section 484(d)(2) of the HEA. Each institution must make its own determination of whether a program is an eligible career pathway program based on the statutory definition in section 484(d)(2) of the HEA, and as described in Dear Colleague Letter GEN-16-09.</w:t>
      </w:r>
      <w:r w:rsidR="00E84FA2">
        <w:rPr>
          <w:color w:val="000000" w:themeColor="text1"/>
        </w:rPr>
        <w:t xml:space="preserve"> </w:t>
      </w:r>
      <w:r w:rsidR="00E84FA2" w:rsidRPr="00953B5B">
        <w:rPr>
          <w:color w:val="000000" w:themeColor="text1"/>
          <w:sz w:val="22"/>
          <w:szCs w:val="22"/>
        </w:rPr>
        <w:t>Institutions must document the basis for such a determination. An institution must maintain documentation that each of its eligible career pathway programs meet the requirements in the definition of an eligible career pathway program in section 484(d)(2) of the HEA and described in Dear Colleague Letter GEN-16-09.  This includes documentation that the program includes workforce preparation activities and training for a specific occupation or occupational cluster and is aligned with the skill needs of the State or regional economy. Also, for each student who received Title IV aid for enrollment in an eligible career pathway program by successfully completing one of the ATB alternatives, the institution must document—</w:t>
      </w:r>
    </w:p>
    <w:p w14:paraId="0ABC32CA" w14:textId="77777777" w:rsidR="00E84FA2" w:rsidRPr="00953B5B" w:rsidRDefault="00E84FA2" w:rsidP="00E84FA2">
      <w:pPr>
        <w:pStyle w:val="ListParagraph"/>
        <w:numPr>
          <w:ilvl w:val="0"/>
          <w:numId w:val="4"/>
        </w:numPr>
        <w:spacing w:after="0" w:line="240" w:lineRule="auto"/>
        <w:rPr>
          <w:color w:val="000000" w:themeColor="text1"/>
        </w:rPr>
      </w:pPr>
      <w:r w:rsidRPr="00953B5B">
        <w:rPr>
          <w:color w:val="000000" w:themeColor="text1"/>
        </w:rPr>
        <w:t xml:space="preserve">Evidence that the student successfully completed one of the ATB alternatives; and </w:t>
      </w:r>
    </w:p>
    <w:p w14:paraId="70F51CC9" w14:textId="6C076789" w:rsidR="00E84FA2" w:rsidRPr="00953B5B" w:rsidRDefault="00E84FA2" w:rsidP="00E84FA2">
      <w:pPr>
        <w:pStyle w:val="ListParagraph"/>
        <w:numPr>
          <w:ilvl w:val="0"/>
          <w:numId w:val="4"/>
        </w:numPr>
        <w:spacing w:after="0" w:line="240" w:lineRule="auto"/>
        <w:rPr>
          <w:color w:val="000000" w:themeColor="text1"/>
        </w:rPr>
      </w:pPr>
      <w:r w:rsidRPr="00953B5B">
        <w:rPr>
          <w:color w:val="000000" w:themeColor="text1"/>
        </w:rPr>
        <w:t>That the student was enrolled in both the Title IV eligible postsecondary program component and the component that enables an individual to attain a high school diploma or its recognized equivalent.</w:t>
      </w:r>
      <w:r w:rsidR="00CF64D3">
        <w:rPr>
          <w:rStyle w:val="FootnoteReference"/>
          <w:color w:val="000000" w:themeColor="text1"/>
        </w:rPr>
        <w:footnoteReference w:id="10"/>
      </w:r>
    </w:p>
    <w:p w14:paraId="065E4E13" w14:textId="16BB70D1" w:rsidR="00E84FA2" w:rsidRPr="00953B5B" w:rsidRDefault="00E84FA2" w:rsidP="00E84FA2">
      <w:pPr>
        <w:rPr>
          <w:color w:val="000000" w:themeColor="text1"/>
          <w:sz w:val="22"/>
          <w:szCs w:val="22"/>
        </w:rPr>
      </w:pPr>
      <w:r w:rsidRPr="00953B5B">
        <w:rPr>
          <w:color w:val="000000" w:themeColor="text1"/>
          <w:sz w:val="22"/>
          <w:szCs w:val="22"/>
        </w:rPr>
        <w:t>It is the institution's responsibility to document its compliance with all applicable programmatic and student eligibility requirements. E</w:t>
      </w:r>
      <w:r w:rsidRPr="00953B5B">
        <w:rPr>
          <w:bCs/>
          <w:color w:val="000000" w:themeColor="text1"/>
          <w:sz w:val="22"/>
          <w:szCs w:val="22"/>
        </w:rPr>
        <w:t xml:space="preserve">ach ATB student enrolled in an eligible career pathway program is not required to be concurrently pursuing both the postsecondary program and the component for </w:t>
      </w:r>
      <w:r w:rsidRPr="00953B5B">
        <w:rPr>
          <w:color w:val="000000" w:themeColor="text1"/>
          <w:sz w:val="22"/>
          <w:szCs w:val="22"/>
        </w:rPr>
        <w:t>attaining a high school diploma, or its recognized equivalent. Each eligible career pathway program must include a Title IV eligible postsecondary program component as defined under 34 CFR 668.8, and provide a component that enables an individual to attain a high school diploma or its recognized equivalent under 34 CFR 600.2. Therefore, the eligible career pathway program must be designed in such a way that students participate in both the Title IV eligible postsecondary program component and the component that enables an individual to attain a high school diploma or its recognized equivalent.  However, the attainment of a postsecondary credential is not contingent on obtaining a high school diploma or its recognized equivalent. Similarly, a student who has met the requirements of the secondary component of the eligible career pathway may be awarded a high school diploma or its recognized equivalent even without completing the full program.</w:t>
      </w:r>
      <w:r w:rsidR="00CF64D3">
        <w:rPr>
          <w:rStyle w:val="FootnoteReference"/>
          <w:color w:val="000000" w:themeColor="text1"/>
          <w:sz w:val="22"/>
          <w:szCs w:val="22"/>
        </w:rPr>
        <w:footnoteReference w:id="11"/>
      </w:r>
    </w:p>
    <w:p w14:paraId="52FF0356" w14:textId="62E8F650" w:rsidR="00260309" w:rsidRDefault="00260309"/>
    <w:p w14:paraId="6E2EB2A4" w14:textId="31B69499" w:rsidR="004E6CB0" w:rsidRPr="004E6CB0" w:rsidRDefault="004E6CB0" w:rsidP="004E6CB0">
      <w:pPr>
        <w:rPr>
          <w:b/>
          <w:bCs/>
          <w:sz w:val="22"/>
          <w:szCs w:val="22"/>
        </w:rPr>
      </w:pPr>
      <w:r w:rsidRPr="004E6CB0">
        <w:rPr>
          <w:b/>
          <w:bCs/>
          <w:sz w:val="22"/>
          <w:szCs w:val="22"/>
        </w:rPr>
        <w:t>The Alabama State-Prescribed Ability to Benefit Pathway</w:t>
      </w:r>
    </w:p>
    <w:p w14:paraId="33AEE668" w14:textId="6290A91D" w:rsidR="00E01295" w:rsidRPr="004E6CB0" w:rsidRDefault="007066B1" w:rsidP="004E6CB0">
      <w:pPr>
        <w:rPr>
          <w:sz w:val="22"/>
          <w:szCs w:val="22"/>
        </w:rPr>
      </w:pPr>
      <w:r>
        <w:rPr>
          <w:sz w:val="22"/>
          <w:szCs w:val="22"/>
        </w:rPr>
        <w:t>Two states, Wisconsin and Washington, have received approval from the U.S. Department of Education for a state-</w:t>
      </w:r>
      <w:r w:rsidR="004E6CB0">
        <w:rPr>
          <w:sz w:val="22"/>
          <w:szCs w:val="22"/>
        </w:rPr>
        <w:t xml:space="preserve">prescribed </w:t>
      </w:r>
      <w:r>
        <w:rPr>
          <w:sz w:val="22"/>
          <w:szCs w:val="22"/>
        </w:rPr>
        <w:t>ATB pathway. Alabama should seek approval for a state-prescribed ATB process that combined the industry-specific ready-to-work program, work-based learning, and co-enrollment in adult education</w:t>
      </w:r>
      <w:r w:rsidR="00E01295">
        <w:rPr>
          <w:sz w:val="22"/>
          <w:szCs w:val="22"/>
        </w:rPr>
        <w:t xml:space="preserve"> that includes a competency-based high school completion program</w:t>
      </w:r>
      <w:r>
        <w:rPr>
          <w:sz w:val="22"/>
          <w:szCs w:val="22"/>
        </w:rPr>
        <w:t>, which will meet WIOA integrated education and training (IET) requirements</w:t>
      </w:r>
      <w:r w:rsidR="004E6CB0">
        <w:rPr>
          <w:sz w:val="22"/>
          <w:szCs w:val="22"/>
        </w:rPr>
        <w:t xml:space="preserve"> and meet all of the seven elements of a </w:t>
      </w:r>
      <w:r w:rsidR="004E6CB0">
        <w:rPr>
          <w:sz w:val="22"/>
          <w:szCs w:val="22"/>
        </w:rPr>
        <w:lastRenderedPageBreak/>
        <w:t xml:space="preserve">WIOA career pathway. </w:t>
      </w:r>
      <w:r>
        <w:rPr>
          <w:sz w:val="22"/>
          <w:szCs w:val="22"/>
        </w:rPr>
        <w:t xml:space="preserve">Three percent of Alabamians </w:t>
      </w:r>
      <w:r w:rsidR="00E01295">
        <w:rPr>
          <w:sz w:val="22"/>
          <w:szCs w:val="22"/>
        </w:rPr>
        <w:t xml:space="preserve">aged 25-64 </w:t>
      </w:r>
      <w:r>
        <w:rPr>
          <w:sz w:val="22"/>
          <w:szCs w:val="22"/>
        </w:rPr>
        <w:t xml:space="preserve">(73,989 people) </w:t>
      </w:r>
      <w:r w:rsidR="00E01295">
        <w:rPr>
          <w:sz w:val="22"/>
          <w:szCs w:val="22"/>
        </w:rPr>
        <w:t>have less than a 9</w:t>
      </w:r>
      <w:r w:rsidR="00E01295" w:rsidRPr="00E01295">
        <w:rPr>
          <w:sz w:val="22"/>
          <w:szCs w:val="22"/>
          <w:vertAlign w:val="superscript"/>
        </w:rPr>
        <w:t>th</w:t>
      </w:r>
      <w:r w:rsidR="00E01295">
        <w:rPr>
          <w:sz w:val="22"/>
          <w:szCs w:val="22"/>
        </w:rPr>
        <w:t xml:space="preserve"> grade education, and 9.2 percent of Alabamians aged 25-64 (229,869 people) have more than a 9</w:t>
      </w:r>
      <w:r w:rsidR="00E01295" w:rsidRPr="00E01295">
        <w:rPr>
          <w:sz w:val="22"/>
          <w:szCs w:val="22"/>
          <w:vertAlign w:val="superscript"/>
        </w:rPr>
        <w:t>th</w:t>
      </w:r>
      <w:r w:rsidR="00E01295">
        <w:rPr>
          <w:sz w:val="22"/>
          <w:szCs w:val="22"/>
        </w:rPr>
        <w:t xml:space="preserve"> grade education but do not have a high school diploma or equivalency.</w:t>
      </w:r>
      <w:r w:rsidR="00E01295">
        <w:rPr>
          <w:rStyle w:val="FootnoteReference"/>
          <w:sz w:val="22"/>
          <w:szCs w:val="22"/>
        </w:rPr>
        <w:footnoteReference w:id="12"/>
      </w:r>
      <w:r w:rsidR="00E01295">
        <w:rPr>
          <w:sz w:val="22"/>
          <w:szCs w:val="22"/>
        </w:rPr>
        <w:t xml:space="preserve"> For </w:t>
      </w:r>
      <w:r w:rsidR="00E01295" w:rsidRPr="004E6CB0">
        <w:rPr>
          <w:sz w:val="22"/>
          <w:szCs w:val="22"/>
        </w:rPr>
        <w:t>the 12.2 percent of Alabamians aged 25-64 with no high school diploma, ATB is a critical pathway into the workforce.</w:t>
      </w:r>
      <w:r w:rsidR="004E6CB0">
        <w:rPr>
          <w:sz w:val="22"/>
          <w:szCs w:val="22"/>
        </w:rPr>
        <w:t xml:space="preserve"> </w:t>
      </w:r>
      <w:r w:rsidR="00E01295" w:rsidRPr="004E6CB0">
        <w:rPr>
          <w:sz w:val="22"/>
          <w:szCs w:val="22"/>
        </w:rPr>
        <w:t xml:space="preserve">The Alabama Ability to Benefit Process must include the following: </w:t>
      </w:r>
    </w:p>
    <w:p w14:paraId="57C9F8D3" w14:textId="33A230FE" w:rsidR="00E01295" w:rsidRPr="004E6CB0" w:rsidRDefault="00E01295" w:rsidP="004E6CB0">
      <w:pPr>
        <w:pStyle w:val="NormalWeb"/>
        <w:numPr>
          <w:ilvl w:val="0"/>
          <w:numId w:val="6"/>
        </w:numPr>
        <w:spacing w:before="0" w:beforeAutospacing="0" w:after="0" w:afterAutospacing="0"/>
        <w:rPr>
          <w:rFonts w:eastAsia="SymbolMT"/>
          <w:sz w:val="22"/>
          <w:szCs w:val="22"/>
        </w:rPr>
      </w:pPr>
      <w:r w:rsidRPr="004E6CB0">
        <w:rPr>
          <w:rFonts w:eastAsia="SymbolMT"/>
          <w:sz w:val="22"/>
          <w:szCs w:val="22"/>
        </w:rPr>
        <w:t xml:space="preserve">A list of community colleges that will </w:t>
      </w:r>
      <w:r w:rsidR="004E6CB0" w:rsidRPr="004E6CB0">
        <w:rPr>
          <w:rFonts w:eastAsia="SymbolMT"/>
          <w:sz w:val="22"/>
          <w:szCs w:val="22"/>
        </w:rPr>
        <w:t>participate;</w:t>
      </w:r>
    </w:p>
    <w:p w14:paraId="26B198B7" w14:textId="26EA280A" w:rsidR="00E01295" w:rsidRPr="004E6CB0" w:rsidRDefault="004E6CB0" w:rsidP="004E6CB0">
      <w:pPr>
        <w:pStyle w:val="NormalWeb"/>
        <w:numPr>
          <w:ilvl w:val="0"/>
          <w:numId w:val="6"/>
        </w:numPr>
        <w:spacing w:before="0" w:beforeAutospacing="0" w:after="0" w:afterAutospacing="0"/>
        <w:rPr>
          <w:rFonts w:eastAsia="SymbolMT"/>
          <w:sz w:val="22"/>
          <w:szCs w:val="22"/>
        </w:rPr>
      </w:pPr>
      <w:r w:rsidRPr="004E6CB0">
        <w:rPr>
          <w:rFonts w:eastAsia="SymbolMT"/>
          <w:sz w:val="22"/>
          <w:szCs w:val="22"/>
        </w:rPr>
        <w:t>c</w:t>
      </w:r>
      <w:r w:rsidR="00E01295" w:rsidRPr="004E6CB0">
        <w:rPr>
          <w:rFonts w:eastAsia="SymbolMT"/>
          <w:sz w:val="22"/>
          <w:szCs w:val="22"/>
        </w:rPr>
        <w:t>alculations and reporting of the rate of</w:t>
      </w:r>
      <w:r w:rsidRPr="004E6CB0">
        <w:rPr>
          <w:rFonts w:eastAsia="SymbolMT"/>
          <w:sz w:val="22"/>
          <w:szCs w:val="22"/>
        </w:rPr>
        <w:t xml:space="preserve"> demonstrated</w:t>
      </w:r>
      <w:r w:rsidR="00E01295" w:rsidRPr="004E6CB0">
        <w:rPr>
          <w:rFonts w:eastAsia="SymbolMT"/>
          <w:sz w:val="22"/>
          <w:szCs w:val="22"/>
        </w:rPr>
        <w:t xml:space="preserve"> success, as defined by the Department of Education</w:t>
      </w:r>
      <w:r w:rsidRPr="004E6CB0">
        <w:rPr>
          <w:rFonts w:eastAsia="SymbolMT"/>
          <w:sz w:val="22"/>
          <w:szCs w:val="22"/>
        </w:rPr>
        <w:t xml:space="preserve"> (34 CFR §668.156)</w:t>
      </w:r>
      <w:r w:rsidR="00E01295" w:rsidRPr="004E6CB0">
        <w:rPr>
          <w:rFonts w:eastAsia="SymbolMT"/>
          <w:sz w:val="22"/>
          <w:szCs w:val="22"/>
        </w:rPr>
        <w:t>, using established resources and reporting systems</w:t>
      </w:r>
      <w:r w:rsidRPr="004E6CB0">
        <w:rPr>
          <w:rFonts w:eastAsia="SymbolMT"/>
          <w:sz w:val="22"/>
          <w:szCs w:val="22"/>
        </w:rPr>
        <w:t>;</w:t>
      </w:r>
    </w:p>
    <w:p w14:paraId="54745EC3" w14:textId="0CA7A127" w:rsidR="00E01295" w:rsidRPr="004E6CB0" w:rsidRDefault="004E6CB0" w:rsidP="004E6CB0">
      <w:pPr>
        <w:pStyle w:val="NormalWeb"/>
        <w:numPr>
          <w:ilvl w:val="0"/>
          <w:numId w:val="6"/>
        </w:numPr>
        <w:spacing w:before="0" w:beforeAutospacing="0" w:after="0" w:afterAutospacing="0"/>
        <w:rPr>
          <w:rFonts w:eastAsia="SymbolMT"/>
          <w:sz w:val="22"/>
          <w:szCs w:val="22"/>
        </w:rPr>
      </w:pPr>
      <w:r w:rsidRPr="004E6CB0">
        <w:rPr>
          <w:rFonts w:eastAsia="SymbolMT"/>
          <w:sz w:val="22"/>
          <w:szCs w:val="22"/>
        </w:rPr>
        <w:t>r</w:t>
      </w:r>
      <w:r w:rsidR="00E01295" w:rsidRPr="004E6CB0">
        <w:rPr>
          <w:rFonts w:eastAsia="SymbolMT"/>
          <w:sz w:val="22"/>
          <w:szCs w:val="22"/>
        </w:rPr>
        <w:t>equired services that will be provided to ATB students by the participating institutions, including</w:t>
      </w:r>
      <w:r w:rsidRPr="004E6CB0">
        <w:rPr>
          <w:rFonts w:eastAsia="SymbolMT"/>
          <w:sz w:val="22"/>
          <w:szCs w:val="22"/>
        </w:rPr>
        <w:t xml:space="preserve">, </w:t>
      </w:r>
      <w:r w:rsidR="00E01295" w:rsidRPr="004E6CB0">
        <w:rPr>
          <w:rFonts w:eastAsia="SymbolMT"/>
          <w:sz w:val="22"/>
          <w:szCs w:val="22"/>
        </w:rPr>
        <w:t>but not limited to</w:t>
      </w:r>
      <w:r w:rsidRPr="004E6CB0">
        <w:rPr>
          <w:rFonts w:eastAsia="SymbolMT"/>
          <w:sz w:val="22"/>
          <w:szCs w:val="22"/>
        </w:rPr>
        <w:t xml:space="preserve">, </w:t>
      </w:r>
      <w:r w:rsidR="00E01295" w:rsidRPr="004E6CB0">
        <w:rPr>
          <w:rFonts w:eastAsia="SymbolMT"/>
          <w:sz w:val="22"/>
          <w:szCs w:val="22"/>
        </w:rPr>
        <w:t>(a) student orientation, (b) tutoring/academic support, (c) comprehensive academic assessments to determine each student’s existing capabilities, (d) assistance with achieving educational milestones and goals, (e) individualized academic counseling that incorporates an understanding of each student’s appropriate class level enrollment or career pathway entry points, and (f) faculty/counselor follow-up regarding each student’s classroom performance and their progress towards academic goals and/or program completion</w:t>
      </w:r>
      <w:r w:rsidRPr="004E6CB0">
        <w:rPr>
          <w:rFonts w:eastAsia="SymbolMT"/>
          <w:sz w:val="22"/>
          <w:szCs w:val="22"/>
        </w:rPr>
        <w:t>;</w:t>
      </w:r>
    </w:p>
    <w:p w14:paraId="0F643516" w14:textId="5A6E8475" w:rsidR="00E01295" w:rsidRPr="004E6CB0" w:rsidRDefault="00E01295" w:rsidP="004E6CB0">
      <w:pPr>
        <w:pStyle w:val="NormalWeb"/>
        <w:numPr>
          <w:ilvl w:val="0"/>
          <w:numId w:val="6"/>
        </w:numPr>
        <w:spacing w:before="0" w:beforeAutospacing="0" w:after="0" w:afterAutospacing="0"/>
        <w:rPr>
          <w:rFonts w:eastAsia="SymbolMT"/>
          <w:sz w:val="22"/>
          <w:szCs w:val="22"/>
        </w:rPr>
      </w:pPr>
      <w:r w:rsidRPr="004E6CB0">
        <w:rPr>
          <w:rFonts w:eastAsia="SymbolMT"/>
          <w:sz w:val="22"/>
          <w:szCs w:val="22"/>
        </w:rPr>
        <w:t xml:space="preserve">Criteria for </w:t>
      </w:r>
      <w:r w:rsidR="004E6CB0" w:rsidRPr="004E6CB0">
        <w:rPr>
          <w:rFonts w:eastAsia="SymbolMT"/>
          <w:sz w:val="22"/>
          <w:szCs w:val="22"/>
        </w:rPr>
        <w:t>selectin</w:t>
      </w:r>
      <w:r w:rsidRPr="004E6CB0">
        <w:rPr>
          <w:rFonts w:eastAsia="SymbolMT"/>
          <w:sz w:val="22"/>
          <w:szCs w:val="22"/>
        </w:rPr>
        <w:t>g candidates for enrollment in ATB</w:t>
      </w:r>
      <w:r w:rsidR="004E6CB0" w:rsidRPr="004E6CB0">
        <w:rPr>
          <w:rFonts w:eastAsia="SymbolMT"/>
          <w:sz w:val="22"/>
          <w:szCs w:val="22"/>
        </w:rPr>
        <w:t xml:space="preserve">, </w:t>
      </w:r>
      <w:r w:rsidRPr="004E6CB0">
        <w:rPr>
          <w:rFonts w:eastAsia="SymbolMT"/>
          <w:sz w:val="22"/>
          <w:szCs w:val="22"/>
        </w:rPr>
        <w:t>a summary of academic supports</w:t>
      </w:r>
      <w:r w:rsidR="004E6CB0" w:rsidRPr="004E6CB0">
        <w:rPr>
          <w:rFonts w:eastAsia="SymbolMT"/>
          <w:sz w:val="22"/>
          <w:szCs w:val="22"/>
        </w:rPr>
        <w:t>, program design standards, and data reporting standards; and</w:t>
      </w:r>
    </w:p>
    <w:p w14:paraId="5A31C6B9" w14:textId="72640136" w:rsidR="004E6CB0" w:rsidRPr="004E6CB0" w:rsidRDefault="00E01295" w:rsidP="004E6CB0">
      <w:pPr>
        <w:pStyle w:val="NormalWeb"/>
        <w:numPr>
          <w:ilvl w:val="0"/>
          <w:numId w:val="6"/>
        </w:numPr>
        <w:spacing w:before="0" w:beforeAutospacing="0" w:after="0" w:afterAutospacing="0"/>
        <w:rPr>
          <w:rFonts w:eastAsia="SymbolMT"/>
          <w:sz w:val="22"/>
          <w:szCs w:val="22"/>
        </w:rPr>
      </w:pPr>
      <w:r w:rsidRPr="004E6CB0">
        <w:rPr>
          <w:rFonts w:eastAsia="SymbolMT"/>
          <w:sz w:val="22"/>
          <w:szCs w:val="22"/>
        </w:rPr>
        <w:t>Provisions for annually monitoring participating institutions, enforcing corrective actions with participating institutions to maintain state and federal compliance, and terminating participating institutions from ATB participation should there be continued non</w:t>
      </w:r>
      <w:r w:rsidR="004E6CB0" w:rsidRPr="004E6CB0">
        <w:rPr>
          <w:rFonts w:eastAsia="SymbolMT"/>
          <w:sz w:val="22"/>
          <w:szCs w:val="22"/>
        </w:rPr>
        <w:t>-</w:t>
      </w:r>
      <w:r w:rsidRPr="004E6CB0">
        <w:rPr>
          <w:rFonts w:eastAsia="SymbolMT"/>
          <w:sz w:val="22"/>
          <w:szCs w:val="22"/>
        </w:rPr>
        <w:t>compliance</w:t>
      </w:r>
      <w:r w:rsidR="004E6CB0" w:rsidRPr="004E6CB0">
        <w:rPr>
          <w:rFonts w:eastAsia="SymbolMT"/>
          <w:sz w:val="22"/>
          <w:szCs w:val="22"/>
        </w:rPr>
        <w:t>.</w:t>
      </w:r>
    </w:p>
    <w:p w14:paraId="564F8038" w14:textId="25395EE4" w:rsidR="00E01295" w:rsidRDefault="00E01295">
      <w:pPr>
        <w:rPr>
          <w:sz w:val="22"/>
          <w:szCs w:val="22"/>
        </w:rPr>
      </w:pPr>
    </w:p>
    <w:p w14:paraId="2AA2E68C" w14:textId="77777777" w:rsidR="004E6CB0" w:rsidRPr="00260309" w:rsidRDefault="004E6CB0" w:rsidP="004E6CB0">
      <w:pPr>
        <w:rPr>
          <w:b/>
          <w:bCs/>
          <w:sz w:val="18"/>
          <w:szCs w:val="18"/>
        </w:rPr>
      </w:pPr>
      <w:r w:rsidRPr="00260309">
        <w:rPr>
          <w:b/>
          <w:bCs/>
          <w:sz w:val="18"/>
          <w:szCs w:val="18"/>
        </w:rPr>
        <w:t>Ability to Benefit Language in the Higher Education Act</w:t>
      </w:r>
    </w:p>
    <w:p w14:paraId="467351FD" w14:textId="77777777" w:rsidR="004E6CB0" w:rsidRPr="004537DC" w:rsidRDefault="004E6CB0" w:rsidP="004E6CB0">
      <w:pPr>
        <w:rPr>
          <w:color w:val="000000" w:themeColor="text1"/>
          <w:sz w:val="18"/>
          <w:szCs w:val="18"/>
        </w:rPr>
      </w:pPr>
      <w:r w:rsidRPr="004537DC">
        <w:rPr>
          <w:color w:val="000000" w:themeColor="text1"/>
          <w:sz w:val="18"/>
          <w:szCs w:val="18"/>
        </w:rPr>
        <w:t>(d)</w:t>
      </w:r>
      <w:r w:rsidRPr="00260309">
        <w:rPr>
          <w:color w:val="000000" w:themeColor="text1"/>
          <w:sz w:val="18"/>
          <w:szCs w:val="18"/>
        </w:rPr>
        <w:t xml:space="preserve"> </w:t>
      </w:r>
      <w:r w:rsidRPr="004537DC">
        <w:rPr>
          <w:color w:val="000000" w:themeColor="text1"/>
          <w:sz w:val="18"/>
          <w:szCs w:val="18"/>
        </w:rPr>
        <w:t>Students who are not high school graduates</w:t>
      </w:r>
      <w:r w:rsidRPr="00260309">
        <w:rPr>
          <w:color w:val="000000" w:themeColor="text1"/>
          <w:sz w:val="18"/>
          <w:szCs w:val="18"/>
        </w:rPr>
        <w:t>.</w:t>
      </w:r>
    </w:p>
    <w:p w14:paraId="511D3B8A" w14:textId="77777777" w:rsidR="004E6CB0" w:rsidRPr="004537DC" w:rsidRDefault="004E6CB0" w:rsidP="004E6CB0">
      <w:pPr>
        <w:rPr>
          <w:color w:val="000000" w:themeColor="text1"/>
          <w:sz w:val="18"/>
          <w:szCs w:val="18"/>
        </w:rPr>
      </w:pPr>
      <w:bookmarkStart w:id="1" w:name="d_1"/>
      <w:bookmarkEnd w:id="1"/>
      <w:r w:rsidRPr="004537DC">
        <w:rPr>
          <w:color w:val="000000" w:themeColor="text1"/>
          <w:sz w:val="18"/>
          <w:szCs w:val="18"/>
        </w:rPr>
        <w:t>(1)</w:t>
      </w:r>
      <w:r w:rsidRPr="00260309">
        <w:rPr>
          <w:color w:val="000000" w:themeColor="text1"/>
          <w:sz w:val="18"/>
          <w:szCs w:val="18"/>
        </w:rPr>
        <w:t xml:space="preserve"> </w:t>
      </w:r>
      <w:r w:rsidRPr="004537DC">
        <w:rPr>
          <w:color w:val="000000" w:themeColor="text1"/>
          <w:sz w:val="18"/>
          <w:szCs w:val="18"/>
        </w:rPr>
        <w:t>Student eligibility</w:t>
      </w:r>
      <w:r w:rsidRPr="00260309">
        <w:rPr>
          <w:color w:val="000000" w:themeColor="text1"/>
          <w:sz w:val="18"/>
          <w:szCs w:val="18"/>
        </w:rPr>
        <w:t xml:space="preserve">. </w:t>
      </w:r>
      <w:r w:rsidRPr="004537DC">
        <w:rPr>
          <w:color w:val="000000" w:themeColor="text1"/>
          <w:sz w:val="18"/>
          <w:szCs w:val="18"/>
        </w:rPr>
        <w:t>In order for a student who does not have a certificate of graduation from a school providing secondary education, or the recognized equivalent of such certificate, to be eligible for any assistance under subparts 1, 3, and 4 of part A and parts B, C, D, and E of this subchapter, the student shall meet the requirements of one of the following subparagraphs:</w:t>
      </w:r>
    </w:p>
    <w:p w14:paraId="6981F4CC" w14:textId="77777777" w:rsidR="004E6CB0" w:rsidRPr="004537DC" w:rsidRDefault="004E6CB0" w:rsidP="004E6CB0">
      <w:pPr>
        <w:rPr>
          <w:color w:val="000000" w:themeColor="text1"/>
          <w:sz w:val="18"/>
          <w:szCs w:val="18"/>
        </w:rPr>
      </w:pPr>
      <w:bookmarkStart w:id="2" w:name="d_1_A"/>
      <w:bookmarkEnd w:id="2"/>
      <w:r w:rsidRPr="004537DC">
        <w:rPr>
          <w:color w:val="000000" w:themeColor="text1"/>
          <w:sz w:val="18"/>
          <w:szCs w:val="18"/>
        </w:rPr>
        <w:t>(A)</w:t>
      </w:r>
      <w:r w:rsidRPr="00260309">
        <w:rPr>
          <w:color w:val="000000" w:themeColor="text1"/>
          <w:sz w:val="18"/>
          <w:szCs w:val="18"/>
        </w:rPr>
        <w:t xml:space="preserve"> </w:t>
      </w:r>
      <w:r w:rsidRPr="004537DC">
        <w:rPr>
          <w:color w:val="000000" w:themeColor="text1"/>
          <w:sz w:val="18"/>
          <w:szCs w:val="18"/>
        </w:rPr>
        <w:t>The student is enrolled in an </w:t>
      </w:r>
      <w:hyperlink r:id="rId8" w:history="1">
        <w:r w:rsidRPr="004537DC">
          <w:rPr>
            <w:color w:val="000000" w:themeColor="text1"/>
            <w:sz w:val="18"/>
            <w:szCs w:val="18"/>
          </w:rPr>
          <w:t>eligible career pathway program</w:t>
        </w:r>
      </w:hyperlink>
      <w:r w:rsidRPr="004537DC">
        <w:rPr>
          <w:color w:val="000000" w:themeColor="text1"/>
          <w:sz w:val="18"/>
          <w:szCs w:val="18"/>
        </w:rPr>
        <w:t> and meets one of the following standards:</w:t>
      </w:r>
    </w:p>
    <w:p w14:paraId="399923E1" w14:textId="77777777" w:rsidR="004E6CB0" w:rsidRPr="004537DC" w:rsidRDefault="004E6CB0" w:rsidP="004E6CB0">
      <w:pPr>
        <w:rPr>
          <w:color w:val="000000" w:themeColor="text1"/>
          <w:sz w:val="18"/>
          <w:szCs w:val="18"/>
        </w:rPr>
      </w:pPr>
      <w:bookmarkStart w:id="3" w:name="d_1_A_i"/>
      <w:bookmarkEnd w:id="3"/>
      <w:r w:rsidRPr="004537DC">
        <w:rPr>
          <w:color w:val="000000" w:themeColor="text1"/>
          <w:sz w:val="18"/>
          <w:szCs w:val="18"/>
        </w:rPr>
        <w:t>(i)</w:t>
      </w:r>
      <w:r w:rsidRPr="00260309">
        <w:rPr>
          <w:color w:val="000000" w:themeColor="text1"/>
          <w:sz w:val="18"/>
          <w:szCs w:val="18"/>
        </w:rPr>
        <w:t xml:space="preserve"> </w:t>
      </w:r>
      <w:r w:rsidRPr="004537DC">
        <w:rPr>
          <w:color w:val="000000" w:themeColor="text1"/>
          <w:sz w:val="18"/>
          <w:szCs w:val="18"/>
        </w:rPr>
        <w:t>The student shall take an independently administered examination and shall achieve a score, specified by the </w:t>
      </w:r>
      <w:hyperlink r:id="rId9" w:history="1">
        <w:r w:rsidRPr="004537DC">
          <w:rPr>
            <w:color w:val="000000" w:themeColor="text1"/>
            <w:sz w:val="18"/>
            <w:szCs w:val="18"/>
          </w:rPr>
          <w:t>Secretary</w:t>
        </w:r>
      </w:hyperlink>
      <w:r w:rsidRPr="004537DC">
        <w:rPr>
          <w:color w:val="000000" w:themeColor="text1"/>
          <w:sz w:val="18"/>
          <w:szCs w:val="18"/>
        </w:rPr>
        <w:t>, demonstrating that such student can benefit from the education or training being offered. Such examination shall be approved by the </w:t>
      </w:r>
      <w:hyperlink r:id="rId10" w:history="1">
        <w:r w:rsidRPr="004537DC">
          <w:rPr>
            <w:color w:val="000000" w:themeColor="text1"/>
            <w:sz w:val="18"/>
            <w:szCs w:val="18"/>
          </w:rPr>
          <w:t>Secretary</w:t>
        </w:r>
      </w:hyperlink>
      <w:r w:rsidRPr="00260309">
        <w:rPr>
          <w:color w:val="000000" w:themeColor="text1"/>
          <w:sz w:val="18"/>
          <w:szCs w:val="18"/>
        </w:rPr>
        <w:t xml:space="preserve"> </w:t>
      </w:r>
      <w:r w:rsidRPr="004537DC">
        <w:rPr>
          <w:color w:val="000000" w:themeColor="text1"/>
          <w:sz w:val="18"/>
          <w:szCs w:val="18"/>
        </w:rPr>
        <w:t>on the basis of compliance with such standards for development, administration, and scoring as the </w:t>
      </w:r>
      <w:hyperlink r:id="rId11" w:history="1">
        <w:r w:rsidRPr="004537DC">
          <w:rPr>
            <w:color w:val="000000" w:themeColor="text1"/>
            <w:sz w:val="18"/>
            <w:szCs w:val="18"/>
          </w:rPr>
          <w:t>Secretary</w:t>
        </w:r>
      </w:hyperlink>
      <w:r w:rsidRPr="004537DC">
        <w:rPr>
          <w:color w:val="000000" w:themeColor="text1"/>
          <w:sz w:val="18"/>
          <w:szCs w:val="18"/>
        </w:rPr>
        <w:t> may prescribe in regulations.</w:t>
      </w:r>
    </w:p>
    <w:p w14:paraId="43024C8C" w14:textId="77777777" w:rsidR="004E6CB0" w:rsidRPr="004537DC" w:rsidRDefault="004E6CB0" w:rsidP="004E6CB0">
      <w:pPr>
        <w:rPr>
          <w:color w:val="000000" w:themeColor="text1"/>
          <w:sz w:val="18"/>
          <w:szCs w:val="18"/>
        </w:rPr>
      </w:pPr>
      <w:bookmarkStart w:id="4" w:name="d_1_A_ii"/>
      <w:bookmarkEnd w:id="4"/>
      <w:r w:rsidRPr="004537DC">
        <w:rPr>
          <w:color w:val="000000" w:themeColor="text1"/>
          <w:sz w:val="18"/>
          <w:szCs w:val="18"/>
        </w:rPr>
        <w:t>(ii)</w:t>
      </w:r>
      <w:r w:rsidRPr="00260309">
        <w:rPr>
          <w:color w:val="000000" w:themeColor="text1"/>
          <w:sz w:val="18"/>
          <w:szCs w:val="18"/>
        </w:rPr>
        <w:t xml:space="preserve"> </w:t>
      </w:r>
      <w:r w:rsidRPr="004537DC">
        <w:rPr>
          <w:color w:val="000000" w:themeColor="text1"/>
          <w:sz w:val="18"/>
          <w:szCs w:val="18"/>
        </w:rPr>
        <w:t>The student shall be determined as having the ability to benefit from the education or training in accordance with such process as the State shall prescribe. Any such process described or approved by a State for the purposes of this section shall be effective 6 months after the date of submission to the </w:t>
      </w:r>
      <w:hyperlink r:id="rId12" w:history="1">
        <w:r w:rsidRPr="004537DC">
          <w:rPr>
            <w:color w:val="000000" w:themeColor="text1"/>
            <w:sz w:val="18"/>
            <w:szCs w:val="18"/>
          </w:rPr>
          <w:t>Secretary</w:t>
        </w:r>
      </w:hyperlink>
      <w:r w:rsidRPr="004537DC">
        <w:rPr>
          <w:color w:val="000000" w:themeColor="text1"/>
          <w:sz w:val="18"/>
          <w:szCs w:val="18"/>
        </w:rPr>
        <w:t> unless the </w:t>
      </w:r>
      <w:hyperlink r:id="rId13" w:history="1">
        <w:r w:rsidRPr="004537DC">
          <w:rPr>
            <w:color w:val="000000" w:themeColor="text1"/>
            <w:sz w:val="18"/>
            <w:szCs w:val="18"/>
          </w:rPr>
          <w:t>Secretary</w:t>
        </w:r>
      </w:hyperlink>
      <w:r w:rsidRPr="004537DC">
        <w:rPr>
          <w:color w:val="000000" w:themeColor="text1"/>
          <w:sz w:val="18"/>
          <w:szCs w:val="18"/>
        </w:rPr>
        <w:t> disapproves such process. In determining whether to approve or disapprove such process, the </w:t>
      </w:r>
      <w:hyperlink r:id="rId14" w:history="1">
        <w:r w:rsidRPr="004537DC">
          <w:rPr>
            <w:color w:val="000000" w:themeColor="text1"/>
            <w:sz w:val="18"/>
            <w:szCs w:val="18"/>
          </w:rPr>
          <w:t>Secretary</w:t>
        </w:r>
      </w:hyperlink>
      <w:r w:rsidRPr="004537DC">
        <w:rPr>
          <w:color w:val="000000" w:themeColor="text1"/>
          <w:sz w:val="18"/>
          <w:szCs w:val="18"/>
        </w:rPr>
        <w:t> shall take into account the effectiveness of such process in enabling students without </w:t>
      </w:r>
      <w:hyperlink r:id="rId15" w:history="1">
        <w:r w:rsidRPr="004537DC">
          <w:rPr>
            <w:color w:val="000000" w:themeColor="text1"/>
            <w:sz w:val="18"/>
            <w:szCs w:val="18"/>
          </w:rPr>
          <w:t>secondary school</w:t>
        </w:r>
      </w:hyperlink>
      <w:r w:rsidRPr="004537DC">
        <w:rPr>
          <w:color w:val="000000" w:themeColor="text1"/>
          <w:sz w:val="18"/>
          <w:szCs w:val="18"/>
        </w:rPr>
        <w:t> diplomas or the equivalent thereof to benefit from the instruction offered by institutions utilizing such process, and shall also take into account the cultural diversity, economic circumstances, and educational preparation of the populations served by the institutions.</w:t>
      </w:r>
    </w:p>
    <w:p w14:paraId="4A3F8095" w14:textId="77777777" w:rsidR="004E6CB0" w:rsidRPr="004537DC" w:rsidRDefault="004E6CB0" w:rsidP="004E6CB0">
      <w:pPr>
        <w:rPr>
          <w:color w:val="000000" w:themeColor="text1"/>
          <w:sz w:val="18"/>
          <w:szCs w:val="18"/>
        </w:rPr>
      </w:pPr>
      <w:bookmarkStart w:id="5" w:name="d_1_A_iii"/>
      <w:bookmarkEnd w:id="5"/>
      <w:r w:rsidRPr="004537DC">
        <w:rPr>
          <w:color w:val="000000" w:themeColor="text1"/>
          <w:sz w:val="18"/>
          <w:szCs w:val="18"/>
        </w:rPr>
        <w:t>(iii)</w:t>
      </w:r>
      <w:r w:rsidRPr="00260309">
        <w:rPr>
          <w:color w:val="000000" w:themeColor="text1"/>
          <w:sz w:val="18"/>
          <w:szCs w:val="18"/>
        </w:rPr>
        <w:t xml:space="preserve"> </w:t>
      </w:r>
      <w:r w:rsidRPr="004537DC">
        <w:rPr>
          <w:color w:val="000000" w:themeColor="text1"/>
          <w:sz w:val="18"/>
          <w:szCs w:val="18"/>
        </w:rPr>
        <w:t>The student shall be determined by the </w:t>
      </w:r>
      <w:hyperlink r:id="rId16" w:history="1">
        <w:r w:rsidRPr="004537DC">
          <w:rPr>
            <w:color w:val="000000" w:themeColor="text1"/>
            <w:sz w:val="18"/>
            <w:szCs w:val="18"/>
          </w:rPr>
          <w:t>institution of higher education</w:t>
        </w:r>
      </w:hyperlink>
      <w:r w:rsidRPr="004537DC">
        <w:rPr>
          <w:color w:val="000000" w:themeColor="text1"/>
          <w:sz w:val="18"/>
          <w:szCs w:val="18"/>
        </w:rPr>
        <w:t> as having the ability to benefit from the education or training offered by the </w:t>
      </w:r>
      <w:hyperlink r:id="rId17" w:history="1">
        <w:r w:rsidRPr="004537DC">
          <w:rPr>
            <w:color w:val="000000" w:themeColor="text1"/>
            <w:sz w:val="18"/>
            <w:szCs w:val="18"/>
          </w:rPr>
          <w:t>institution of higher education</w:t>
        </w:r>
      </w:hyperlink>
      <w:r w:rsidRPr="004537DC">
        <w:rPr>
          <w:color w:val="000000" w:themeColor="text1"/>
          <w:sz w:val="18"/>
          <w:szCs w:val="18"/>
        </w:rPr>
        <w:t> upon satisfactory completion of 6 credit hours or the equivalent coursework that are applicable toward a degree or certificate offered by the </w:t>
      </w:r>
      <w:hyperlink r:id="rId18" w:history="1">
        <w:r w:rsidRPr="004537DC">
          <w:rPr>
            <w:color w:val="000000" w:themeColor="text1"/>
            <w:sz w:val="18"/>
            <w:szCs w:val="18"/>
          </w:rPr>
          <w:t>institution of higher education</w:t>
        </w:r>
      </w:hyperlink>
      <w:r w:rsidRPr="004537DC">
        <w:rPr>
          <w:color w:val="000000" w:themeColor="text1"/>
          <w:sz w:val="18"/>
          <w:szCs w:val="18"/>
        </w:rPr>
        <w:t>.</w:t>
      </w:r>
    </w:p>
    <w:p w14:paraId="0134B949" w14:textId="77777777" w:rsidR="004E6CB0" w:rsidRPr="004537DC" w:rsidRDefault="004E6CB0" w:rsidP="004E6CB0">
      <w:pPr>
        <w:rPr>
          <w:color w:val="000000" w:themeColor="text1"/>
          <w:sz w:val="18"/>
          <w:szCs w:val="18"/>
        </w:rPr>
      </w:pPr>
      <w:bookmarkStart w:id="6" w:name="d_1_B"/>
      <w:bookmarkEnd w:id="6"/>
      <w:r w:rsidRPr="004537DC">
        <w:rPr>
          <w:color w:val="000000" w:themeColor="text1"/>
          <w:sz w:val="18"/>
          <w:szCs w:val="18"/>
        </w:rPr>
        <w:t>(B)</w:t>
      </w:r>
      <w:r w:rsidRPr="00260309">
        <w:rPr>
          <w:color w:val="000000" w:themeColor="text1"/>
          <w:sz w:val="18"/>
          <w:szCs w:val="18"/>
        </w:rPr>
        <w:t xml:space="preserve"> </w:t>
      </w:r>
      <w:r w:rsidRPr="004537DC">
        <w:rPr>
          <w:color w:val="000000" w:themeColor="text1"/>
          <w:sz w:val="18"/>
          <w:szCs w:val="18"/>
        </w:rPr>
        <w:t>The student has completed a </w:t>
      </w:r>
      <w:hyperlink r:id="rId19" w:history="1">
        <w:r w:rsidRPr="004537DC">
          <w:rPr>
            <w:color w:val="000000" w:themeColor="text1"/>
            <w:sz w:val="18"/>
            <w:szCs w:val="18"/>
          </w:rPr>
          <w:t>secondary school</w:t>
        </w:r>
      </w:hyperlink>
      <w:r w:rsidRPr="004537DC">
        <w:rPr>
          <w:color w:val="000000" w:themeColor="text1"/>
          <w:sz w:val="18"/>
          <w:szCs w:val="18"/>
        </w:rPr>
        <w:t> education in a home school setting that is treated as a home school or private school under State law.</w:t>
      </w:r>
    </w:p>
    <w:p w14:paraId="5EB4E13C" w14:textId="77777777" w:rsidR="004E6CB0" w:rsidRPr="004537DC" w:rsidRDefault="004E6CB0" w:rsidP="004E6CB0">
      <w:pPr>
        <w:rPr>
          <w:color w:val="000000" w:themeColor="text1"/>
          <w:sz w:val="18"/>
          <w:szCs w:val="18"/>
        </w:rPr>
      </w:pPr>
      <w:bookmarkStart w:id="7" w:name="d_2"/>
      <w:bookmarkEnd w:id="7"/>
      <w:r w:rsidRPr="004537DC">
        <w:rPr>
          <w:color w:val="000000" w:themeColor="text1"/>
          <w:sz w:val="18"/>
          <w:szCs w:val="18"/>
        </w:rPr>
        <w:t>(2)</w:t>
      </w:r>
      <w:r w:rsidRPr="00260309">
        <w:rPr>
          <w:color w:val="000000" w:themeColor="text1"/>
          <w:sz w:val="18"/>
          <w:szCs w:val="18"/>
        </w:rPr>
        <w:t xml:space="preserve"> </w:t>
      </w:r>
      <w:r w:rsidRPr="004537DC">
        <w:rPr>
          <w:color w:val="000000" w:themeColor="text1"/>
          <w:sz w:val="18"/>
          <w:szCs w:val="18"/>
        </w:rPr>
        <w:t>Eligible career pathway program</w:t>
      </w:r>
      <w:r w:rsidRPr="00260309">
        <w:rPr>
          <w:color w:val="000000" w:themeColor="text1"/>
          <w:sz w:val="18"/>
          <w:szCs w:val="18"/>
        </w:rPr>
        <w:t xml:space="preserve">. </w:t>
      </w:r>
      <w:r w:rsidRPr="004537DC">
        <w:rPr>
          <w:color w:val="000000" w:themeColor="text1"/>
          <w:sz w:val="18"/>
          <w:szCs w:val="18"/>
        </w:rPr>
        <w:t>In this subsection, the term “</w:t>
      </w:r>
      <w:hyperlink r:id="rId20" w:history="1">
        <w:r w:rsidRPr="004537DC">
          <w:rPr>
            <w:color w:val="000000" w:themeColor="text1"/>
            <w:sz w:val="18"/>
            <w:szCs w:val="18"/>
          </w:rPr>
          <w:t>eligible career pathway program</w:t>
        </w:r>
      </w:hyperlink>
      <w:r w:rsidRPr="004537DC">
        <w:rPr>
          <w:color w:val="000000" w:themeColor="text1"/>
          <w:sz w:val="18"/>
          <w:szCs w:val="18"/>
        </w:rPr>
        <w:t>” means a program that combines rigorous and high-quality education, training, and other services that—</w:t>
      </w:r>
    </w:p>
    <w:p w14:paraId="5C31B215" w14:textId="77777777" w:rsidR="004E6CB0" w:rsidRPr="004537DC" w:rsidRDefault="004E6CB0" w:rsidP="004E6CB0">
      <w:pPr>
        <w:rPr>
          <w:color w:val="000000" w:themeColor="text1"/>
          <w:sz w:val="18"/>
          <w:szCs w:val="18"/>
        </w:rPr>
      </w:pPr>
      <w:bookmarkStart w:id="8" w:name="d_2_A"/>
      <w:bookmarkEnd w:id="8"/>
      <w:r w:rsidRPr="004537DC">
        <w:rPr>
          <w:color w:val="000000" w:themeColor="text1"/>
          <w:sz w:val="18"/>
          <w:szCs w:val="18"/>
        </w:rPr>
        <w:t>(A)</w:t>
      </w:r>
      <w:r w:rsidRPr="00260309">
        <w:rPr>
          <w:color w:val="000000" w:themeColor="text1"/>
          <w:sz w:val="18"/>
          <w:szCs w:val="18"/>
        </w:rPr>
        <w:t xml:space="preserve"> </w:t>
      </w:r>
      <w:r w:rsidRPr="004537DC">
        <w:rPr>
          <w:color w:val="000000" w:themeColor="text1"/>
          <w:sz w:val="18"/>
          <w:szCs w:val="18"/>
        </w:rPr>
        <w:t>aligns with the skill needs of industries in the economy of the State or regional economy involved;</w:t>
      </w:r>
    </w:p>
    <w:p w14:paraId="7989BB86" w14:textId="77777777" w:rsidR="004E6CB0" w:rsidRPr="004537DC" w:rsidRDefault="004E6CB0" w:rsidP="004E6CB0">
      <w:pPr>
        <w:rPr>
          <w:color w:val="000000" w:themeColor="text1"/>
          <w:sz w:val="18"/>
          <w:szCs w:val="18"/>
        </w:rPr>
      </w:pPr>
      <w:bookmarkStart w:id="9" w:name="d_2_B"/>
      <w:bookmarkEnd w:id="9"/>
      <w:r w:rsidRPr="004537DC">
        <w:rPr>
          <w:color w:val="000000" w:themeColor="text1"/>
          <w:sz w:val="18"/>
          <w:szCs w:val="18"/>
        </w:rPr>
        <w:t>(B)</w:t>
      </w:r>
      <w:r w:rsidRPr="00260309">
        <w:rPr>
          <w:color w:val="000000" w:themeColor="text1"/>
          <w:sz w:val="18"/>
          <w:szCs w:val="18"/>
        </w:rPr>
        <w:t xml:space="preserve"> </w:t>
      </w:r>
      <w:r w:rsidRPr="004537DC">
        <w:rPr>
          <w:color w:val="000000" w:themeColor="text1"/>
          <w:sz w:val="18"/>
          <w:szCs w:val="18"/>
        </w:rPr>
        <w:t>prepares an individual to be successful in any of a full range of secondary or postsecondary education options, including apprenticeships registered under the Act of August 16, 1937 (commonly known as the “</w:t>
      </w:r>
      <w:hyperlink r:id="rId21" w:history="1">
        <w:r w:rsidRPr="004537DC">
          <w:rPr>
            <w:color w:val="000000" w:themeColor="text1"/>
            <w:sz w:val="18"/>
            <w:szCs w:val="18"/>
          </w:rPr>
          <w:t>National Apprenticeship Act</w:t>
        </w:r>
      </w:hyperlink>
      <w:r w:rsidRPr="004537DC">
        <w:rPr>
          <w:color w:val="000000" w:themeColor="text1"/>
          <w:sz w:val="18"/>
          <w:szCs w:val="18"/>
        </w:rPr>
        <w:t>”; </w:t>
      </w:r>
      <w:hyperlink r:id="rId22" w:history="1">
        <w:r w:rsidRPr="004537DC">
          <w:rPr>
            <w:color w:val="000000" w:themeColor="text1"/>
            <w:sz w:val="18"/>
            <w:szCs w:val="18"/>
          </w:rPr>
          <w:t>50 Stat. 664</w:t>
        </w:r>
      </w:hyperlink>
      <w:r w:rsidRPr="004537DC">
        <w:rPr>
          <w:color w:val="000000" w:themeColor="text1"/>
          <w:sz w:val="18"/>
          <w:szCs w:val="18"/>
        </w:rPr>
        <w:t>, chapter 663; </w:t>
      </w:r>
      <w:hyperlink r:id="rId23" w:history="1">
        <w:r w:rsidRPr="004537DC">
          <w:rPr>
            <w:color w:val="000000" w:themeColor="text1"/>
            <w:sz w:val="18"/>
            <w:szCs w:val="18"/>
          </w:rPr>
          <w:t>29 U.S.C. 50</w:t>
        </w:r>
      </w:hyperlink>
      <w:r w:rsidRPr="004537DC">
        <w:rPr>
          <w:color w:val="000000" w:themeColor="text1"/>
          <w:sz w:val="18"/>
          <w:szCs w:val="18"/>
        </w:rPr>
        <w:t> et seq.) (referred to individually in this chapter as an “apprenticeship”, except in section 171); </w:t>
      </w:r>
    </w:p>
    <w:p w14:paraId="33EBF319" w14:textId="77777777" w:rsidR="004E6CB0" w:rsidRPr="004537DC" w:rsidRDefault="004E6CB0" w:rsidP="004E6CB0">
      <w:pPr>
        <w:rPr>
          <w:color w:val="000000" w:themeColor="text1"/>
          <w:sz w:val="18"/>
          <w:szCs w:val="18"/>
        </w:rPr>
      </w:pPr>
      <w:bookmarkStart w:id="10" w:name="d_2_C"/>
      <w:bookmarkEnd w:id="10"/>
      <w:r w:rsidRPr="004537DC">
        <w:rPr>
          <w:color w:val="000000" w:themeColor="text1"/>
          <w:sz w:val="18"/>
          <w:szCs w:val="18"/>
        </w:rPr>
        <w:t>(C)</w:t>
      </w:r>
      <w:r w:rsidRPr="00260309">
        <w:rPr>
          <w:color w:val="000000" w:themeColor="text1"/>
          <w:sz w:val="18"/>
          <w:szCs w:val="18"/>
        </w:rPr>
        <w:t xml:space="preserve"> </w:t>
      </w:r>
      <w:r w:rsidRPr="004537DC">
        <w:rPr>
          <w:color w:val="000000" w:themeColor="text1"/>
          <w:sz w:val="18"/>
          <w:szCs w:val="18"/>
        </w:rPr>
        <w:t>includes counseling to support an individual in achieving the individual’s education and career goals;</w:t>
      </w:r>
    </w:p>
    <w:p w14:paraId="7DD9E3D0" w14:textId="77777777" w:rsidR="004E6CB0" w:rsidRPr="004537DC" w:rsidRDefault="004E6CB0" w:rsidP="004E6CB0">
      <w:pPr>
        <w:rPr>
          <w:color w:val="000000" w:themeColor="text1"/>
          <w:sz w:val="18"/>
          <w:szCs w:val="18"/>
        </w:rPr>
      </w:pPr>
      <w:bookmarkStart w:id="11" w:name="d_2_D"/>
      <w:bookmarkEnd w:id="11"/>
      <w:r w:rsidRPr="004537DC">
        <w:rPr>
          <w:color w:val="000000" w:themeColor="text1"/>
          <w:sz w:val="18"/>
          <w:szCs w:val="18"/>
        </w:rPr>
        <w:t>(D)</w:t>
      </w:r>
      <w:r w:rsidRPr="00260309">
        <w:rPr>
          <w:color w:val="000000" w:themeColor="text1"/>
          <w:sz w:val="18"/>
          <w:szCs w:val="18"/>
        </w:rPr>
        <w:t xml:space="preserve"> </w:t>
      </w:r>
      <w:r w:rsidRPr="004537DC">
        <w:rPr>
          <w:color w:val="000000" w:themeColor="text1"/>
          <w:sz w:val="18"/>
          <w:szCs w:val="18"/>
        </w:rPr>
        <w:t>includes, as appropriate, education offered concurrently with and in the same context as workforce preparation activities and training for a specific occupation or occupational cluster;</w:t>
      </w:r>
    </w:p>
    <w:p w14:paraId="2B05ABAF" w14:textId="77777777" w:rsidR="004E6CB0" w:rsidRPr="004537DC" w:rsidRDefault="004E6CB0" w:rsidP="004E6CB0">
      <w:pPr>
        <w:rPr>
          <w:color w:val="000000" w:themeColor="text1"/>
          <w:sz w:val="18"/>
          <w:szCs w:val="18"/>
        </w:rPr>
      </w:pPr>
      <w:bookmarkStart w:id="12" w:name="d_2_E"/>
      <w:bookmarkEnd w:id="12"/>
      <w:r w:rsidRPr="004537DC">
        <w:rPr>
          <w:color w:val="000000" w:themeColor="text1"/>
          <w:sz w:val="18"/>
          <w:szCs w:val="18"/>
        </w:rPr>
        <w:t>(E)</w:t>
      </w:r>
      <w:r w:rsidRPr="00260309">
        <w:rPr>
          <w:color w:val="000000" w:themeColor="text1"/>
          <w:sz w:val="18"/>
          <w:szCs w:val="18"/>
        </w:rPr>
        <w:t xml:space="preserve"> </w:t>
      </w:r>
      <w:r w:rsidRPr="004537DC">
        <w:rPr>
          <w:color w:val="000000" w:themeColor="text1"/>
          <w:sz w:val="18"/>
          <w:szCs w:val="18"/>
        </w:rPr>
        <w:t>organizes education, training, and other services to meet the particular needs of an individual in a manner that accelerates the educational and career advancement of the individual to the extent practicable;</w:t>
      </w:r>
    </w:p>
    <w:p w14:paraId="13981BA3" w14:textId="77777777" w:rsidR="004E6CB0" w:rsidRPr="004537DC" w:rsidRDefault="004E6CB0" w:rsidP="004E6CB0">
      <w:pPr>
        <w:rPr>
          <w:color w:val="000000" w:themeColor="text1"/>
          <w:sz w:val="18"/>
          <w:szCs w:val="18"/>
        </w:rPr>
      </w:pPr>
      <w:bookmarkStart w:id="13" w:name="d_2_F"/>
      <w:bookmarkEnd w:id="13"/>
      <w:r w:rsidRPr="004537DC">
        <w:rPr>
          <w:color w:val="000000" w:themeColor="text1"/>
          <w:sz w:val="18"/>
          <w:szCs w:val="18"/>
        </w:rPr>
        <w:lastRenderedPageBreak/>
        <w:t>(F)</w:t>
      </w:r>
      <w:r w:rsidRPr="00260309">
        <w:rPr>
          <w:color w:val="000000" w:themeColor="text1"/>
          <w:sz w:val="18"/>
          <w:szCs w:val="18"/>
        </w:rPr>
        <w:t xml:space="preserve"> </w:t>
      </w:r>
      <w:r w:rsidRPr="004537DC">
        <w:rPr>
          <w:color w:val="000000" w:themeColor="text1"/>
          <w:sz w:val="18"/>
          <w:szCs w:val="18"/>
        </w:rPr>
        <w:t>enables an individual to attain a </w:t>
      </w:r>
      <w:hyperlink r:id="rId24" w:history="1">
        <w:r w:rsidRPr="004537DC">
          <w:rPr>
            <w:color w:val="000000" w:themeColor="text1"/>
            <w:sz w:val="18"/>
            <w:szCs w:val="18"/>
          </w:rPr>
          <w:t>secondary school</w:t>
        </w:r>
      </w:hyperlink>
      <w:r w:rsidRPr="004537DC">
        <w:rPr>
          <w:color w:val="000000" w:themeColor="text1"/>
          <w:sz w:val="18"/>
          <w:szCs w:val="18"/>
        </w:rPr>
        <w:t> diploma or its recognized equivalent, and at least 1 recognized postsecondary credential; and</w:t>
      </w:r>
    </w:p>
    <w:p w14:paraId="4D69057F" w14:textId="77777777" w:rsidR="004E6CB0" w:rsidRPr="00260309" w:rsidRDefault="004E6CB0" w:rsidP="004E6CB0">
      <w:pPr>
        <w:rPr>
          <w:color w:val="000000" w:themeColor="text1"/>
          <w:sz w:val="18"/>
          <w:szCs w:val="18"/>
        </w:rPr>
      </w:pPr>
      <w:bookmarkStart w:id="14" w:name="d_2_G"/>
      <w:bookmarkEnd w:id="14"/>
      <w:r w:rsidRPr="004537DC">
        <w:rPr>
          <w:color w:val="000000" w:themeColor="text1"/>
          <w:sz w:val="18"/>
          <w:szCs w:val="18"/>
        </w:rPr>
        <w:t>(G)</w:t>
      </w:r>
      <w:r w:rsidRPr="00260309">
        <w:rPr>
          <w:color w:val="000000" w:themeColor="text1"/>
          <w:sz w:val="18"/>
          <w:szCs w:val="18"/>
        </w:rPr>
        <w:t xml:space="preserve"> </w:t>
      </w:r>
      <w:r w:rsidRPr="004537DC">
        <w:rPr>
          <w:color w:val="000000" w:themeColor="text1"/>
          <w:sz w:val="18"/>
          <w:szCs w:val="18"/>
        </w:rPr>
        <w:t>helps an individual enter or advance within a specific occupation or occupational cluster.</w:t>
      </w:r>
      <w:r w:rsidRPr="00260309">
        <w:rPr>
          <w:rStyle w:val="FootnoteReference"/>
          <w:color w:val="000000" w:themeColor="text1"/>
          <w:sz w:val="18"/>
          <w:szCs w:val="18"/>
        </w:rPr>
        <w:footnoteReference w:id="13"/>
      </w:r>
    </w:p>
    <w:p w14:paraId="24FA1FCE" w14:textId="77777777" w:rsidR="004E6CB0" w:rsidRPr="004E6CB0" w:rsidRDefault="004E6CB0">
      <w:pPr>
        <w:rPr>
          <w:sz w:val="22"/>
          <w:szCs w:val="22"/>
        </w:rPr>
      </w:pPr>
    </w:p>
    <w:sectPr w:rsidR="004E6CB0" w:rsidRPr="004E6CB0" w:rsidSect="002A5EFC">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D8E8" w14:textId="77777777" w:rsidR="00F74729" w:rsidRDefault="00F74729" w:rsidP="004537DC">
      <w:r>
        <w:separator/>
      </w:r>
    </w:p>
  </w:endnote>
  <w:endnote w:type="continuationSeparator" w:id="0">
    <w:p w14:paraId="3CA6509C" w14:textId="77777777" w:rsidR="00F74729" w:rsidRDefault="00F74729" w:rsidP="0045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Songti TC Light"/>
    <w:panose1 w:val="00000000000000000000"/>
    <w:charset w:val="88"/>
    <w:family w:val="auto"/>
    <w:notTrueType/>
    <w:pitch w:val="default"/>
    <w:sig w:usb0="00002A87" w:usb1="08080000" w:usb2="00000010" w:usb3="00000000" w:csb0="001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1673568"/>
      <w:docPartObj>
        <w:docPartGallery w:val="Page Numbers (Bottom of Page)"/>
        <w:docPartUnique/>
      </w:docPartObj>
    </w:sdtPr>
    <w:sdtEndPr>
      <w:rPr>
        <w:rStyle w:val="PageNumber"/>
      </w:rPr>
    </w:sdtEndPr>
    <w:sdtContent>
      <w:p w14:paraId="78E7FE8F" w14:textId="4B04FD5C" w:rsidR="00FB43BD" w:rsidRDefault="00FB43BD" w:rsidP="00A72B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DAE74B" w14:textId="77777777" w:rsidR="00FB43BD" w:rsidRDefault="00FB4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5304548"/>
      <w:docPartObj>
        <w:docPartGallery w:val="Page Numbers (Bottom of Page)"/>
        <w:docPartUnique/>
      </w:docPartObj>
    </w:sdtPr>
    <w:sdtEndPr>
      <w:rPr>
        <w:rStyle w:val="PageNumber"/>
      </w:rPr>
    </w:sdtEndPr>
    <w:sdtContent>
      <w:p w14:paraId="7571AAA1" w14:textId="7D701AF5" w:rsidR="00FB43BD" w:rsidRDefault="00FB43BD" w:rsidP="00A72B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4DD4">
          <w:rPr>
            <w:rStyle w:val="PageNumber"/>
            <w:noProof/>
          </w:rPr>
          <w:t>2</w:t>
        </w:r>
        <w:r>
          <w:rPr>
            <w:rStyle w:val="PageNumber"/>
          </w:rPr>
          <w:fldChar w:fldCharType="end"/>
        </w:r>
      </w:p>
    </w:sdtContent>
  </w:sdt>
  <w:p w14:paraId="7FF50299" w14:textId="77777777" w:rsidR="00FB43BD" w:rsidRDefault="00FB4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B890C" w14:textId="77777777" w:rsidR="00F74729" w:rsidRDefault="00F74729" w:rsidP="004537DC">
      <w:r>
        <w:separator/>
      </w:r>
    </w:p>
  </w:footnote>
  <w:footnote w:type="continuationSeparator" w:id="0">
    <w:p w14:paraId="1FDFB588" w14:textId="77777777" w:rsidR="00F74729" w:rsidRDefault="00F74729" w:rsidP="004537DC">
      <w:r>
        <w:continuationSeparator/>
      </w:r>
    </w:p>
  </w:footnote>
  <w:footnote w:id="1">
    <w:p w14:paraId="29C693C5" w14:textId="4F11038E" w:rsidR="00E84FA2" w:rsidRDefault="00E84FA2" w:rsidP="00E84FA2">
      <w:r w:rsidRPr="00E84FA2">
        <w:rPr>
          <w:rStyle w:val="FootnoteReference"/>
          <w:sz w:val="20"/>
          <w:szCs w:val="20"/>
        </w:rPr>
        <w:footnoteRef/>
      </w:r>
      <w:r w:rsidRPr="00E84FA2">
        <w:rPr>
          <w:sz w:val="20"/>
          <w:szCs w:val="20"/>
        </w:rPr>
        <w:t xml:space="preserve"> </w:t>
      </w:r>
      <w:r w:rsidRPr="00E84FA2">
        <w:rPr>
          <w:color w:val="000000" w:themeColor="text1"/>
          <w:sz w:val="20"/>
          <w:szCs w:val="20"/>
        </w:rPr>
        <w:t>U.S. Department of Education, Office of Postsecondary Education, Dear Colleague Letter</w:t>
      </w:r>
      <w:r>
        <w:rPr>
          <w:color w:val="000000" w:themeColor="text1"/>
          <w:sz w:val="20"/>
          <w:szCs w:val="20"/>
        </w:rPr>
        <w:t>, “</w:t>
      </w:r>
      <w:r w:rsidRPr="00E84FA2">
        <w:rPr>
          <w:color w:val="000000"/>
          <w:sz w:val="20"/>
          <w:szCs w:val="20"/>
          <w:shd w:val="clear" w:color="auto" w:fill="FFFFFF"/>
        </w:rPr>
        <w:t>Changes to Title IV Eligibility for Students Without a Valid High School Diploma Who Are Enrolled in Eligible Career Pathway Programs</w:t>
      </w:r>
      <w:r>
        <w:rPr>
          <w:color w:val="000000"/>
          <w:sz w:val="20"/>
          <w:szCs w:val="20"/>
          <w:shd w:val="clear" w:color="auto" w:fill="FFFFFF"/>
        </w:rPr>
        <w:t xml:space="preserve">,” 9 May 2016, accessed on 7 March 2021 </w:t>
      </w:r>
      <w:r w:rsidRPr="00E84FA2">
        <w:rPr>
          <w:color w:val="000000" w:themeColor="text1"/>
          <w:sz w:val="20"/>
          <w:szCs w:val="20"/>
        </w:rPr>
        <w:t>&lt;https://ifap.ed.gov/dear-colleague-letters/05-09-2016-gen-16-09-subject-changes-title-iv-eligibility-students-without</w:t>
      </w:r>
      <w:r>
        <w:rPr>
          <w:color w:val="000000" w:themeColor="text1"/>
          <w:sz w:val="20"/>
          <w:szCs w:val="20"/>
        </w:rPr>
        <w:t>&gt;.</w:t>
      </w:r>
    </w:p>
  </w:footnote>
  <w:footnote w:id="2">
    <w:p w14:paraId="2BBA72DC" w14:textId="77777777" w:rsidR="00CF64D3" w:rsidRPr="00431E0C" w:rsidRDefault="00CF64D3" w:rsidP="00CF64D3">
      <w:pPr>
        <w:pStyle w:val="Heading1"/>
        <w:spacing w:before="0" w:beforeAutospacing="0" w:after="0" w:afterAutospacing="0"/>
        <w:rPr>
          <w:b w:val="0"/>
          <w:bCs w:val="0"/>
          <w:color w:val="333333"/>
          <w:spacing w:val="3"/>
          <w:sz w:val="20"/>
          <w:szCs w:val="20"/>
        </w:rPr>
      </w:pPr>
      <w:r w:rsidRPr="00431E0C">
        <w:rPr>
          <w:rStyle w:val="FootnoteReference"/>
          <w:b w:val="0"/>
          <w:bCs w:val="0"/>
          <w:color w:val="000000" w:themeColor="text1"/>
          <w:sz w:val="20"/>
          <w:szCs w:val="20"/>
        </w:rPr>
        <w:footnoteRef/>
      </w:r>
      <w:r w:rsidRPr="00431E0C">
        <w:rPr>
          <w:b w:val="0"/>
          <w:bCs w:val="0"/>
          <w:color w:val="000000" w:themeColor="text1"/>
          <w:sz w:val="20"/>
          <w:szCs w:val="20"/>
        </w:rPr>
        <w:t xml:space="preserve"> </w:t>
      </w:r>
      <w:hyperlink r:id="rId1" w:history="1">
        <w:r w:rsidRPr="00431E0C">
          <w:rPr>
            <w:b w:val="0"/>
            <w:bCs w:val="0"/>
            <w:color w:val="000000" w:themeColor="text1"/>
            <w:spacing w:val="3"/>
            <w:sz w:val="20"/>
            <w:szCs w:val="20"/>
          </w:rPr>
          <w:t>Lauren Walizer</w:t>
        </w:r>
      </w:hyperlink>
      <w:r w:rsidRPr="00431E0C">
        <w:rPr>
          <w:b w:val="0"/>
          <w:bCs w:val="0"/>
          <w:color w:val="000000" w:themeColor="text1"/>
          <w:spacing w:val="3"/>
          <w:sz w:val="20"/>
          <w:szCs w:val="20"/>
        </w:rPr>
        <w:t xml:space="preserve"> and </w:t>
      </w:r>
      <w:hyperlink r:id="rId2" w:history="1">
        <w:r w:rsidRPr="00431E0C">
          <w:rPr>
            <w:b w:val="0"/>
            <w:bCs w:val="0"/>
            <w:color w:val="000000" w:themeColor="text1"/>
            <w:spacing w:val="3"/>
            <w:sz w:val="20"/>
            <w:szCs w:val="20"/>
          </w:rPr>
          <w:t>Judy Mortrude</w:t>
        </w:r>
      </w:hyperlink>
      <w:r w:rsidRPr="00431E0C">
        <w:rPr>
          <w:b w:val="0"/>
          <w:bCs w:val="0"/>
          <w:color w:val="000000" w:themeColor="text1"/>
          <w:spacing w:val="3"/>
          <w:sz w:val="20"/>
          <w:szCs w:val="20"/>
        </w:rPr>
        <w:t>, Federal Guidance Explains How the Ability to Benefit Provision Aligns with a Career Pathway,</w:t>
      </w:r>
      <w:r>
        <w:rPr>
          <w:b w:val="0"/>
          <w:bCs w:val="0"/>
          <w:color w:val="000000" w:themeColor="text1"/>
          <w:spacing w:val="3"/>
          <w:sz w:val="20"/>
          <w:szCs w:val="20"/>
        </w:rPr>
        <w:t>” The Center for Law and Social Policy (CLASP), 19 May 2016, accessed on 7 March 2021 &lt;</w:t>
      </w:r>
      <w:r w:rsidRPr="00431E0C">
        <w:rPr>
          <w:b w:val="0"/>
          <w:bCs w:val="0"/>
          <w:color w:val="000000" w:themeColor="text1"/>
          <w:spacing w:val="3"/>
          <w:sz w:val="20"/>
          <w:szCs w:val="20"/>
        </w:rPr>
        <w:t>https://www.clasp.org/blog/federal-guidance-explains-how-ability-benefit-provision-aligns-career-pathway</w:t>
      </w:r>
      <w:r>
        <w:rPr>
          <w:b w:val="0"/>
          <w:bCs w:val="0"/>
          <w:color w:val="000000" w:themeColor="text1"/>
          <w:spacing w:val="3"/>
          <w:sz w:val="20"/>
          <w:szCs w:val="20"/>
        </w:rPr>
        <w:t>&gt;.</w:t>
      </w:r>
    </w:p>
  </w:footnote>
  <w:footnote w:id="3">
    <w:p w14:paraId="6DD2D216" w14:textId="77777777" w:rsidR="00FB43BD" w:rsidRDefault="00FB43BD" w:rsidP="00FB43BD">
      <w:pPr>
        <w:pStyle w:val="FootnoteText"/>
      </w:pPr>
      <w:r w:rsidRPr="00431E0C">
        <w:rPr>
          <w:rStyle w:val="FootnoteReference"/>
        </w:rPr>
        <w:footnoteRef/>
      </w:r>
      <w:r w:rsidRPr="00431E0C">
        <w:t xml:space="preserve"> P.L. 114-113.</w:t>
      </w:r>
    </w:p>
  </w:footnote>
  <w:footnote w:id="4">
    <w:p w14:paraId="4BD285EF" w14:textId="77777777" w:rsidR="00FB43BD" w:rsidRDefault="00FB43BD" w:rsidP="00FB43BD">
      <w:pPr>
        <w:pStyle w:val="FootnoteText"/>
      </w:pPr>
      <w:r>
        <w:rPr>
          <w:rStyle w:val="FootnoteReference"/>
        </w:rPr>
        <w:footnoteRef/>
      </w:r>
      <w:r>
        <w:t xml:space="preserve"> </w:t>
      </w:r>
      <w:r w:rsidRPr="00CF64D3">
        <w:rPr>
          <w:i/>
          <w:iCs/>
        </w:rPr>
        <w:t>Ibid.</w:t>
      </w:r>
    </w:p>
  </w:footnote>
  <w:footnote w:id="5">
    <w:p w14:paraId="4F8DF11E" w14:textId="77777777" w:rsidR="00260309" w:rsidRDefault="00260309" w:rsidP="00260309">
      <w:pPr>
        <w:pStyle w:val="FootnoteText"/>
      </w:pPr>
      <w:r>
        <w:rPr>
          <w:rStyle w:val="FootnoteReference"/>
        </w:rPr>
        <w:footnoteRef/>
      </w:r>
      <w:r>
        <w:t xml:space="preserve"> </w:t>
      </w:r>
      <w:r w:rsidRPr="00781966">
        <w:t>P.L. 113-128.</w:t>
      </w:r>
    </w:p>
  </w:footnote>
  <w:footnote w:id="6">
    <w:p w14:paraId="2F8730D0" w14:textId="77777777" w:rsidR="00FB43BD" w:rsidRPr="00431E0C" w:rsidRDefault="00FB43BD" w:rsidP="00FB43BD">
      <w:pPr>
        <w:pStyle w:val="FootnoteText"/>
        <w:rPr>
          <w:color w:val="000000" w:themeColor="text1"/>
        </w:rPr>
      </w:pPr>
      <w:r w:rsidRPr="00431E0C">
        <w:rPr>
          <w:rStyle w:val="FootnoteReference"/>
          <w:color w:val="000000" w:themeColor="text1"/>
        </w:rPr>
        <w:footnoteRef/>
      </w:r>
      <w:r w:rsidRPr="00431E0C">
        <w:rPr>
          <w:color w:val="000000" w:themeColor="text1"/>
        </w:rPr>
        <w:t xml:space="preserve"> National Association of State Directors of Adult Education, Ability to Benefit, Issue Brief, October 2019, accessed on 7 March 2021 &lt;http://nasdae.org/wp-content/uploads/2019/10/NASDAE-ATB-final.pdf&gt;.</w:t>
      </w:r>
    </w:p>
  </w:footnote>
  <w:footnote w:id="7">
    <w:p w14:paraId="6E60153A" w14:textId="77777777" w:rsidR="00CF64D3" w:rsidRPr="00781966" w:rsidRDefault="00CF64D3" w:rsidP="00CF64D3">
      <w:pPr>
        <w:pStyle w:val="FootnoteText"/>
      </w:pPr>
      <w:r w:rsidRPr="00781966">
        <w:rPr>
          <w:rStyle w:val="FootnoteReference"/>
        </w:rPr>
        <w:footnoteRef/>
      </w:r>
      <w:r w:rsidRPr="00781966">
        <w:t xml:space="preserve"> P.L. 116-159.</w:t>
      </w:r>
    </w:p>
  </w:footnote>
  <w:footnote w:id="8">
    <w:p w14:paraId="771B398B" w14:textId="77777777" w:rsidR="00CF64D3" w:rsidRPr="00781966" w:rsidRDefault="00CF64D3" w:rsidP="00CF64D3">
      <w:pPr>
        <w:pStyle w:val="FootnoteText"/>
        <w:rPr>
          <w:color w:val="000000" w:themeColor="text1"/>
        </w:rPr>
      </w:pPr>
      <w:r w:rsidRPr="00781966">
        <w:rPr>
          <w:rStyle w:val="FootnoteReference"/>
        </w:rPr>
        <w:footnoteRef/>
      </w:r>
      <w:r w:rsidRPr="00781966">
        <w:t xml:space="preserve"> Tom Netting, “Consolidated Appropriations Act, 2021,” FAME, 22 December 2020, accessed on 7 March 2021 </w:t>
      </w:r>
      <w:r w:rsidRPr="00781966">
        <w:rPr>
          <w:color w:val="000000" w:themeColor="text1"/>
        </w:rPr>
        <w:t>&lt;https://www.fameinc.com/consolidated-appropriations-act-2021/&gt;.</w:t>
      </w:r>
    </w:p>
  </w:footnote>
  <w:footnote w:id="9">
    <w:p w14:paraId="6A7B83DA" w14:textId="77777777" w:rsidR="00CF64D3" w:rsidRPr="00781966" w:rsidRDefault="00CF64D3" w:rsidP="00CF64D3">
      <w:r w:rsidRPr="00781966">
        <w:rPr>
          <w:rStyle w:val="FootnoteReference"/>
          <w:color w:val="000000" w:themeColor="text1"/>
          <w:sz w:val="20"/>
          <w:szCs w:val="20"/>
        </w:rPr>
        <w:footnoteRef/>
      </w:r>
      <w:r w:rsidRPr="00781966">
        <w:rPr>
          <w:color w:val="000000" w:themeColor="text1"/>
          <w:sz w:val="20"/>
          <w:szCs w:val="20"/>
        </w:rPr>
        <w:t xml:space="preserve"> U.S. Department of Education, Office of Postsecondary Education, Ability to Benefit Frequently Asked Questions (EA ID: OPE Announcements-21-02), 15 January 2021, accessed on 7 March 2021 &lt;https://ifap.ed.gov/electronic-announcements/011521AbilitytoBenefitFAQ&gt;.</w:t>
      </w:r>
    </w:p>
  </w:footnote>
  <w:footnote w:id="10">
    <w:p w14:paraId="731BE57B" w14:textId="0CE80EB2" w:rsidR="00CF64D3" w:rsidRDefault="00CF64D3">
      <w:pPr>
        <w:pStyle w:val="FootnoteText"/>
      </w:pPr>
      <w:r>
        <w:rPr>
          <w:rStyle w:val="FootnoteReference"/>
        </w:rPr>
        <w:footnoteRef/>
      </w:r>
      <w:r>
        <w:t xml:space="preserve"> </w:t>
      </w:r>
      <w:r w:rsidRPr="00CF64D3">
        <w:rPr>
          <w:i/>
          <w:iCs/>
        </w:rPr>
        <w:t>Ibid.</w:t>
      </w:r>
    </w:p>
  </w:footnote>
  <w:footnote w:id="11">
    <w:p w14:paraId="3DB9BE2C" w14:textId="3D8871CB" w:rsidR="00CF64D3" w:rsidRDefault="00CF64D3">
      <w:pPr>
        <w:pStyle w:val="FootnoteText"/>
      </w:pPr>
      <w:r>
        <w:rPr>
          <w:rStyle w:val="FootnoteReference"/>
        </w:rPr>
        <w:footnoteRef/>
      </w:r>
      <w:r>
        <w:t xml:space="preserve"> </w:t>
      </w:r>
      <w:r w:rsidRPr="00CF64D3">
        <w:rPr>
          <w:i/>
          <w:iCs/>
        </w:rPr>
        <w:t>Ibid.</w:t>
      </w:r>
    </w:p>
  </w:footnote>
  <w:footnote w:id="12">
    <w:p w14:paraId="7EC9A9DC" w14:textId="326BD740" w:rsidR="00E01295" w:rsidRPr="00E01295" w:rsidRDefault="00E01295">
      <w:pPr>
        <w:pStyle w:val="FootnoteText"/>
      </w:pPr>
      <w:r>
        <w:rPr>
          <w:rStyle w:val="FootnoteReference"/>
        </w:rPr>
        <w:footnoteRef/>
      </w:r>
      <w:r>
        <w:t xml:space="preserve"> Lumina Foundation, </w:t>
      </w:r>
      <w:r>
        <w:rPr>
          <w:i/>
          <w:iCs/>
        </w:rPr>
        <w:t>A Stronger Nation</w:t>
      </w:r>
      <w:r>
        <w:t>, Alabama, February 2020, accessed on 7 March 2021 &lt;</w:t>
      </w:r>
      <w:r w:rsidRPr="00E01295">
        <w:t>https://</w:t>
      </w:r>
      <w:r>
        <w:t xml:space="preserve"> </w:t>
      </w:r>
      <w:r w:rsidRPr="00E01295">
        <w:t>www.luminafoundation.org/stronger-nation/report/2020/#page/downloads</w:t>
      </w:r>
      <w:r>
        <w:t>&gt;.</w:t>
      </w:r>
    </w:p>
  </w:footnote>
  <w:footnote w:id="13">
    <w:p w14:paraId="5104A557" w14:textId="77777777" w:rsidR="004E6CB0" w:rsidRPr="00781966" w:rsidRDefault="004E6CB0" w:rsidP="004E6CB0">
      <w:pPr>
        <w:pStyle w:val="FootnoteText"/>
      </w:pPr>
      <w:r w:rsidRPr="004537DC">
        <w:rPr>
          <w:rStyle w:val="FootnoteReference"/>
        </w:rPr>
        <w:footnoteRef/>
      </w:r>
      <w:r w:rsidRPr="004537DC">
        <w:t xml:space="preserve"> </w:t>
      </w:r>
      <w:r w:rsidRPr="00781966">
        <w:t>20 USC § 1091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7AF"/>
    <w:multiLevelType w:val="multilevel"/>
    <w:tmpl w:val="82B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350C1"/>
    <w:multiLevelType w:val="multilevel"/>
    <w:tmpl w:val="777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25765"/>
    <w:multiLevelType w:val="hybridMultilevel"/>
    <w:tmpl w:val="0A34AA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B82A00"/>
    <w:multiLevelType w:val="multilevel"/>
    <w:tmpl w:val="EC0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71763D"/>
    <w:multiLevelType w:val="multilevel"/>
    <w:tmpl w:val="AB94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B7B2A"/>
    <w:multiLevelType w:val="multilevel"/>
    <w:tmpl w:val="754E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DC"/>
    <w:rsid w:val="00014F4C"/>
    <w:rsid w:val="00023106"/>
    <w:rsid w:val="000C0EFC"/>
    <w:rsid w:val="0011255B"/>
    <w:rsid w:val="0012514A"/>
    <w:rsid w:val="00205904"/>
    <w:rsid w:val="00260309"/>
    <w:rsid w:val="002902CE"/>
    <w:rsid w:val="002A5EFC"/>
    <w:rsid w:val="002B43A8"/>
    <w:rsid w:val="00337B61"/>
    <w:rsid w:val="0035095E"/>
    <w:rsid w:val="00390CDE"/>
    <w:rsid w:val="00431E0C"/>
    <w:rsid w:val="004537DC"/>
    <w:rsid w:val="004C18D6"/>
    <w:rsid w:val="004E6CB0"/>
    <w:rsid w:val="00561FBE"/>
    <w:rsid w:val="00570BDB"/>
    <w:rsid w:val="0062084C"/>
    <w:rsid w:val="007066B1"/>
    <w:rsid w:val="007608B4"/>
    <w:rsid w:val="00781966"/>
    <w:rsid w:val="007F6B37"/>
    <w:rsid w:val="00804511"/>
    <w:rsid w:val="008442D8"/>
    <w:rsid w:val="00882A85"/>
    <w:rsid w:val="0088605F"/>
    <w:rsid w:val="00894DD4"/>
    <w:rsid w:val="008A6DE7"/>
    <w:rsid w:val="008C006C"/>
    <w:rsid w:val="00924669"/>
    <w:rsid w:val="009A5CE5"/>
    <w:rsid w:val="00A262C0"/>
    <w:rsid w:val="00AA7EF0"/>
    <w:rsid w:val="00AC3788"/>
    <w:rsid w:val="00AF3405"/>
    <w:rsid w:val="00B25A5F"/>
    <w:rsid w:val="00B3286F"/>
    <w:rsid w:val="00BC7B5F"/>
    <w:rsid w:val="00BE29BE"/>
    <w:rsid w:val="00BE6DFA"/>
    <w:rsid w:val="00CC2D60"/>
    <w:rsid w:val="00CF64D3"/>
    <w:rsid w:val="00D028A3"/>
    <w:rsid w:val="00D139BB"/>
    <w:rsid w:val="00D23460"/>
    <w:rsid w:val="00DB2E21"/>
    <w:rsid w:val="00DD4ED6"/>
    <w:rsid w:val="00E01295"/>
    <w:rsid w:val="00E84FA2"/>
    <w:rsid w:val="00F74729"/>
    <w:rsid w:val="00FB43BD"/>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FFAC"/>
  <w14:defaultImageDpi w14:val="32767"/>
  <w15:chartTrackingRefBased/>
  <w15:docId w15:val="{8A2E5061-5539-8C4C-BD00-9BC5A148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A2"/>
    <w:rPr>
      <w:rFonts w:ascii="Times New Roman" w:eastAsia="Times New Roman" w:hAnsi="Times New Roman" w:cs="Times New Roman"/>
    </w:rPr>
  </w:style>
  <w:style w:type="paragraph" w:styleId="Heading1">
    <w:name w:val="heading 1"/>
    <w:basedOn w:val="Normal"/>
    <w:link w:val="Heading1Char"/>
    <w:uiPriority w:val="9"/>
    <w:qFormat/>
    <w:rsid w:val="00431E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7DC"/>
    <w:pPr>
      <w:spacing w:before="100" w:beforeAutospacing="1" w:after="100" w:afterAutospacing="1"/>
    </w:pPr>
  </w:style>
  <w:style w:type="character" w:customStyle="1" w:styleId="apple-converted-space">
    <w:name w:val="apple-converted-space"/>
    <w:basedOn w:val="DefaultParagraphFont"/>
    <w:rsid w:val="004537DC"/>
  </w:style>
  <w:style w:type="character" w:styleId="Hyperlink">
    <w:name w:val="Hyperlink"/>
    <w:basedOn w:val="DefaultParagraphFont"/>
    <w:uiPriority w:val="99"/>
    <w:unhideWhenUsed/>
    <w:rsid w:val="004537DC"/>
    <w:rPr>
      <w:color w:val="0000FF"/>
      <w:u w:val="single"/>
    </w:rPr>
  </w:style>
  <w:style w:type="character" w:styleId="Emphasis">
    <w:name w:val="Emphasis"/>
    <w:basedOn w:val="DefaultParagraphFont"/>
    <w:uiPriority w:val="20"/>
    <w:qFormat/>
    <w:rsid w:val="004537DC"/>
    <w:rPr>
      <w:i/>
      <w:iCs/>
    </w:rPr>
  </w:style>
  <w:style w:type="paragraph" w:styleId="FootnoteText">
    <w:name w:val="footnote text"/>
    <w:basedOn w:val="Normal"/>
    <w:link w:val="FootnoteTextChar"/>
    <w:uiPriority w:val="99"/>
    <w:semiHidden/>
    <w:unhideWhenUsed/>
    <w:rsid w:val="004537DC"/>
    <w:rPr>
      <w:sz w:val="20"/>
      <w:szCs w:val="20"/>
    </w:rPr>
  </w:style>
  <w:style w:type="character" w:customStyle="1" w:styleId="FootnoteTextChar">
    <w:name w:val="Footnote Text Char"/>
    <w:basedOn w:val="DefaultParagraphFont"/>
    <w:link w:val="FootnoteText"/>
    <w:uiPriority w:val="99"/>
    <w:semiHidden/>
    <w:rsid w:val="004537DC"/>
    <w:rPr>
      <w:sz w:val="20"/>
      <w:szCs w:val="20"/>
    </w:rPr>
  </w:style>
  <w:style w:type="character" w:styleId="FootnoteReference">
    <w:name w:val="footnote reference"/>
    <w:basedOn w:val="DefaultParagraphFont"/>
    <w:uiPriority w:val="99"/>
    <w:semiHidden/>
    <w:unhideWhenUsed/>
    <w:rsid w:val="004537DC"/>
    <w:rPr>
      <w:vertAlign w:val="superscript"/>
    </w:rPr>
  </w:style>
  <w:style w:type="character" w:customStyle="1" w:styleId="UnresolvedMention">
    <w:name w:val="Unresolved Mention"/>
    <w:basedOn w:val="DefaultParagraphFont"/>
    <w:uiPriority w:val="99"/>
    <w:rsid w:val="004537DC"/>
    <w:rPr>
      <w:color w:val="605E5C"/>
      <w:shd w:val="clear" w:color="auto" w:fill="E1DFDD"/>
    </w:rPr>
  </w:style>
  <w:style w:type="character" w:customStyle="1" w:styleId="num">
    <w:name w:val="num"/>
    <w:basedOn w:val="DefaultParagraphFont"/>
    <w:rsid w:val="004537DC"/>
  </w:style>
  <w:style w:type="character" w:customStyle="1" w:styleId="heading">
    <w:name w:val="heading"/>
    <w:basedOn w:val="DefaultParagraphFont"/>
    <w:rsid w:val="004537DC"/>
  </w:style>
  <w:style w:type="character" w:customStyle="1" w:styleId="chapeau">
    <w:name w:val="chapeau"/>
    <w:basedOn w:val="DefaultParagraphFont"/>
    <w:rsid w:val="004537DC"/>
  </w:style>
  <w:style w:type="character" w:customStyle="1" w:styleId="Date1">
    <w:name w:val="Date1"/>
    <w:basedOn w:val="DefaultParagraphFont"/>
    <w:rsid w:val="004537DC"/>
  </w:style>
  <w:style w:type="character" w:customStyle="1" w:styleId="Heading1Char">
    <w:name w:val="Heading 1 Char"/>
    <w:basedOn w:val="DefaultParagraphFont"/>
    <w:link w:val="Heading1"/>
    <w:uiPriority w:val="9"/>
    <w:rsid w:val="00431E0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84FA2"/>
    <w:pPr>
      <w:spacing w:after="200" w:line="276" w:lineRule="auto"/>
      <w:ind w:left="720"/>
      <w:contextualSpacing/>
    </w:pPr>
    <w:rPr>
      <w:sz w:val="22"/>
      <w:szCs w:val="22"/>
    </w:rPr>
  </w:style>
  <w:style w:type="paragraph" w:styleId="Footer">
    <w:name w:val="footer"/>
    <w:basedOn w:val="Normal"/>
    <w:link w:val="FooterChar"/>
    <w:uiPriority w:val="99"/>
    <w:unhideWhenUsed/>
    <w:rsid w:val="00FB43BD"/>
    <w:pPr>
      <w:tabs>
        <w:tab w:val="center" w:pos="4680"/>
        <w:tab w:val="right" w:pos="9360"/>
      </w:tabs>
    </w:pPr>
  </w:style>
  <w:style w:type="character" w:customStyle="1" w:styleId="FooterChar">
    <w:name w:val="Footer Char"/>
    <w:basedOn w:val="DefaultParagraphFont"/>
    <w:link w:val="Footer"/>
    <w:uiPriority w:val="99"/>
    <w:rsid w:val="00FB43BD"/>
    <w:rPr>
      <w:rFonts w:ascii="Times New Roman" w:eastAsia="Times New Roman" w:hAnsi="Times New Roman" w:cs="Times New Roman"/>
    </w:rPr>
  </w:style>
  <w:style w:type="character" w:styleId="PageNumber">
    <w:name w:val="page number"/>
    <w:basedOn w:val="DefaultParagraphFont"/>
    <w:uiPriority w:val="99"/>
    <w:semiHidden/>
    <w:unhideWhenUsed/>
    <w:rsid w:val="00FB43BD"/>
  </w:style>
  <w:style w:type="paragraph" w:styleId="Header">
    <w:name w:val="header"/>
    <w:basedOn w:val="Normal"/>
    <w:link w:val="HeaderChar"/>
    <w:uiPriority w:val="99"/>
    <w:unhideWhenUsed/>
    <w:rsid w:val="00FB43BD"/>
    <w:pPr>
      <w:tabs>
        <w:tab w:val="center" w:pos="4680"/>
        <w:tab w:val="right" w:pos="9360"/>
      </w:tabs>
    </w:pPr>
  </w:style>
  <w:style w:type="character" w:customStyle="1" w:styleId="HeaderChar">
    <w:name w:val="Header Char"/>
    <w:basedOn w:val="DefaultParagraphFont"/>
    <w:link w:val="Header"/>
    <w:uiPriority w:val="99"/>
    <w:rsid w:val="00FB43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881">
      <w:bodyDiv w:val="1"/>
      <w:marLeft w:val="0"/>
      <w:marRight w:val="0"/>
      <w:marTop w:val="0"/>
      <w:marBottom w:val="0"/>
      <w:divBdr>
        <w:top w:val="none" w:sz="0" w:space="0" w:color="auto"/>
        <w:left w:val="none" w:sz="0" w:space="0" w:color="auto"/>
        <w:bottom w:val="none" w:sz="0" w:space="0" w:color="auto"/>
        <w:right w:val="none" w:sz="0" w:space="0" w:color="auto"/>
      </w:divBdr>
    </w:div>
    <w:div w:id="210194473">
      <w:bodyDiv w:val="1"/>
      <w:marLeft w:val="0"/>
      <w:marRight w:val="0"/>
      <w:marTop w:val="0"/>
      <w:marBottom w:val="0"/>
      <w:divBdr>
        <w:top w:val="none" w:sz="0" w:space="0" w:color="auto"/>
        <w:left w:val="none" w:sz="0" w:space="0" w:color="auto"/>
        <w:bottom w:val="none" w:sz="0" w:space="0" w:color="auto"/>
        <w:right w:val="none" w:sz="0" w:space="0" w:color="auto"/>
      </w:divBdr>
    </w:div>
    <w:div w:id="332151277">
      <w:bodyDiv w:val="1"/>
      <w:marLeft w:val="0"/>
      <w:marRight w:val="0"/>
      <w:marTop w:val="0"/>
      <w:marBottom w:val="0"/>
      <w:divBdr>
        <w:top w:val="none" w:sz="0" w:space="0" w:color="auto"/>
        <w:left w:val="none" w:sz="0" w:space="0" w:color="auto"/>
        <w:bottom w:val="none" w:sz="0" w:space="0" w:color="auto"/>
        <w:right w:val="none" w:sz="0" w:space="0" w:color="auto"/>
      </w:divBdr>
    </w:div>
    <w:div w:id="420487007">
      <w:bodyDiv w:val="1"/>
      <w:marLeft w:val="0"/>
      <w:marRight w:val="0"/>
      <w:marTop w:val="0"/>
      <w:marBottom w:val="0"/>
      <w:divBdr>
        <w:top w:val="none" w:sz="0" w:space="0" w:color="auto"/>
        <w:left w:val="none" w:sz="0" w:space="0" w:color="auto"/>
        <w:bottom w:val="none" w:sz="0" w:space="0" w:color="auto"/>
        <w:right w:val="none" w:sz="0" w:space="0" w:color="auto"/>
      </w:divBdr>
      <w:divsChild>
        <w:div w:id="1349257284">
          <w:marLeft w:val="0"/>
          <w:marRight w:val="0"/>
          <w:marTop w:val="0"/>
          <w:marBottom w:val="0"/>
          <w:divBdr>
            <w:top w:val="none" w:sz="0" w:space="0" w:color="auto"/>
            <w:left w:val="none" w:sz="0" w:space="0" w:color="auto"/>
            <w:bottom w:val="none" w:sz="0" w:space="0" w:color="auto"/>
            <w:right w:val="none" w:sz="0" w:space="0" w:color="auto"/>
          </w:divBdr>
          <w:divsChild>
            <w:div w:id="537596007">
              <w:marLeft w:val="0"/>
              <w:marRight w:val="0"/>
              <w:marTop w:val="0"/>
              <w:marBottom w:val="0"/>
              <w:divBdr>
                <w:top w:val="none" w:sz="0" w:space="0" w:color="auto"/>
                <w:left w:val="none" w:sz="0" w:space="0" w:color="auto"/>
                <w:bottom w:val="none" w:sz="0" w:space="0" w:color="auto"/>
                <w:right w:val="none" w:sz="0" w:space="0" w:color="auto"/>
              </w:divBdr>
              <w:divsChild>
                <w:div w:id="11987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3966">
      <w:bodyDiv w:val="1"/>
      <w:marLeft w:val="0"/>
      <w:marRight w:val="0"/>
      <w:marTop w:val="0"/>
      <w:marBottom w:val="0"/>
      <w:divBdr>
        <w:top w:val="none" w:sz="0" w:space="0" w:color="auto"/>
        <w:left w:val="none" w:sz="0" w:space="0" w:color="auto"/>
        <w:bottom w:val="none" w:sz="0" w:space="0" w:color="auto"/>
        <w:right w:val="none" w:sz="0" w:space="0" w:color="auto"/>
      </w:divBdr>
      <w:divsChild>
        <w:div w:id="1832718454">
          <w:marLeft w:val="240"/>
          <w:marRight w:val="0"/>
          <w:marTop w:val="60"/>
          <w:marBottom w:val="60"/>
          <w:divBdr>
            <w:top w:val="none" w:sz="0" w:space="0" w:color="auto"/>
            <w:left w:val="none" w:sz="0" w:space="0" w:color="auto"/>
            <w:bottom w:val="none" w:sz="0" w:space="0" w:color="auto"/>
            <w:right w:val="none" w:sz="0" w:space="0" w:color="auto"/>
          </w:divBdr>
          <w:divsChild>
            <w:div w:id="495920716">
              <w:marLeft w:val="240"/>
              <w:marRight w:val="0"/>
              <w:marTop w:val="60"/>
              <w:marBottom w:val="60"/>
              <w:divBdr>
                <w:top w:val="none" w:sz="0" w:space="0" w:color="auto"/>
                <w:left w:val="none" w:sz="0" w:space="0" w:color="auto"/>
                <w:bottom w:val="none" w:sz="0" w:space="0" w:color="auto"/>
                <w:right w:val="none" w:sz="0" w:space="0" w:color="auto"/>
              </w:divBdr>
              <w:divsChild>
                <w:div w:id="1892114709">
                  <w:marLeft w:val="240"/>
                  <w:marRight w:val="0"/>
                  <w:marTop w:val="60"/>
                  <w:marBottom w:val="60"/>
                  <w:divBdr>
                    <w:top w:val="none" w:sz="0" w:space="0" w:color="auto"/>
                    <w:left w:val="none" w:sz="0" w:space="0" w:color="auto"/>
                    <w:bottom w:val="none" w:sz="0" w:space="0" w:color="auto"/>
                    <w:right w:val="none" w:sz="0" w:space="0" w:color="auto"/>
                  </w:divBdr>
                  <w:divsChild>
                    <w:div w:id="24139571">
                      <w:marLeft w:val="0"/>
                      <w:marRight w:val="0"/>
                      <w:marTop w:val="0"/>
                      <w:marBottom w:val="0"/>
                      <w:divBdr>
                        <w:top w:val="none" w:sz="0" w:space="0" w:color="auto"/>
                        <w:left w:val="none" w:sz="0" w:space="0" w:color="auto"/>
                        <w:bottom w:val="none" w:sz="0" w:space="0" w:color="auto"/>
                        <w:right w:val="none" w:sz="0" w:space="0" w:color="auto"/>
                      </w:divBdr>
                    </w:div>
                  </w:divsChild>
                </w:div>
                <w:div w:id="950941248">
                  <w:marLeft w:val="240"/>
                  <w:marRight w:val="0"/>
                  <w:marTop w:val="60"/>
                  <w:marBottom w:val="60"/>
                  <w:divBdr>
                    <w:top w:val="none" w:sz="0" w:space="0" w:color="auto"/>
                    <w:left w:val="none" w:sz="0" w:space="0" w:color="auto"/>
                    <w:bottom w:val="none" w:sz="0" w:space="0" w:color="auto"/>
                    <w:right w:val="none" w:sz="0" w:space="0" w:color="auto"/>
                  </w:divBdr>
                  <w:divsChild>
                    <w:div w:id="301273327">
                      <w:marLeft w:val="0"/>
                      <w:marRight w:val="0"/>
                      <w:marTop w:val="0"/>
                      <w:marBottom w:val="0"/>
                      <w:divBdr>
                        <w:top w:val="none" w:sz="0" w:space="0" w:color="auto"/>
                        <w:left w:val="none" w:sz="0" w:space="0" w:color="auto"/>
                        <w:bottom w:val="none" w:sz="0" w:space="0" w:color="auto"/>
                        <w:right w:val="none" w:sz="0" w:space="0" w:color="auto"/>
                      </w:divBdr>
                    </w:div>
                  </w:divsChild>
                </w:div>
                <w:div w:id="82607957">
                  <w:marLeft w:val="240"/>
                  <w:marRight w:val="0"/>
                  <w:marTop w:val="60"/>
                  <w:marBottom w:val="60"/>
                  <w:divBdr>
                    <w:top w:val="none" w:sz="0" w:space="0" w:color="auto"/>
                    <w:left w:val="none" w:sz="0" w:space="0" w:color="auto"/>
                    <w:bottom w:val="none" w:sz="0" w:space="0" w:color="auto"/>
                    <w:right w:val="none" w:sz="0" w:space="0" w:color="auto"/>
                  </w:divBdr>
                  <w:divsChild>
                    <w:div w:id="12300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235">
              <w:marLeft w:val="240"/>
              <w:marRight w:val="0"/>
              <w:marTop w:val="60"/>
              <w:marBottom w:val="60"/>
              <w:divBdr>
                <w:top w:val="none" w:sz="0" w:space="0" w:color="auto"/>
                <w:left w:val="none" w:sz="0" w:space="0" w:color="auto"/>
                <w:bottom w:val="none" w:sz="0" w:space="0" w:color="auto"/>
                <w:right w:val="none" w:sz="0" w:space="0" w:color="auto"/>
              </w:divBdr>
              <w:divsChild>
                <w:div w:id="1206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8568">
          <w:marLeft w:val="240"/>
          <w:marRight w:val="0"/>
          <w:marTop w:val="60"/>
          <w:marBottom w:val="60"/>
          <w:divBdr>
            <w:top w:val="none" w:sz="0" w:space="0" w:color="auto"/>
            <w:left w:val="none" w:sz="0" w:space="0" w:color="auto"/>
            <w:bottom w:val="none" w:sz="0" w:space="0" w:color="auto"/>
            <w:right w:val="none" w:sz="0" w:space="0" w:color="auto"/>
          </w:divBdr>
          <w:divsChild>
            <w:div w:id="658773054">
              <w:marLeft w:val="240"/>
              <w:marRight w:val="0"/>
              <w:marTop w:val="60"/>
              <w:marBottom w:val="60"/>
              <w:divBdr>
                <w:top w:val="none" w:sz="0" w:space="0" w:color="auto"/>
                <w:left w:val="none" w:sz="0" w:space="0" w:color="auto"/>
                <w:bottom w:val="none" w:sz="0" w:space="0" w:color="auto"/>
                <w:right w:val="none" w:sz="0" w:space="0" w:color="auto"/>
              </w:divBdr>
              <w:divsChild>
                <w:div w:id="483738049">
                  <w:marLeft w:val="0"/>
                  <w:marRight w:val="0"/>
                  <w:marTop w:val="0"/>
                  <w:marBottom w:val="0"/>
                  <w:divBdr>
                    <w:top w:val="none" w:sz="0" w:space="0" w:color="auto"/>
                    <w:left w:val="none" w:sz="0" w:space="0" w:color="auto"/>
                    <w:bottom w:val="none" w:sz="0" w:space="0" w:color="auto"/>
                    <w:right w:val="none" w:sz="0" w:space="0" w:color="auto"/>
                  </w:divBdr>
                </w:div>
              </w:divsChild>
            </w:div>
            <w:div w:id="406878900">
              <w:marLeft w:val="240"/>
              <w:marRight w:val="0"/>
              <w:marTop w:val="60"/>
              <w:marBottom w:val="60"/>
              <w:divBdr>
                <w:top w:val="none" w:sz="0" w:space="0" w:color="auto"/>
                <w:left w:val="none" w:sz="0" w:space="0" w:color="auto"/>
                <w:bottom w:val="none" w:sz="0" w:space="0" w:color="auto"/>
                <w:right w:val="none" w:sz="0" w:space="0" w:color="auto"/>
              </w:divBdr>
              <w:divsChild>
                <w:div w:id="276565167">
                  <w:marLeft w:val="0"/>
                  <w:marRight w:val="0"/>
                  <w:marTop w:val="0"/>
                  <w:marBottom w:val="0"/>
                  <w:divBdr>
                    <w:top w:val="none" w:sz="0" w:space="0" w:color="auto"/>
                    <w:left w:val="none" w:sz="0" w:space="0" w:color="auto"/>
                    <w:bottom w:val="none" w:sz="0" w:space="0" w:color="auto"/>
                    <w:right w:val="none" w:sz="0" w:space="0" w:color="auto"/>
                  </w:divBdr>
                </w:div>
              </w:divsChild>
            </w:div>
            <w:div w:id="879439286">
              <w:marLeft w:val="240"/>
              <w:marRight w:val="0"/>
              <w:marTop w:val="60"/>
              <w:marBottom w:val="60"/>
              <w:divBdr>
                <w:top w:val="none" w:sz="0" w:space="0" w:color="auto"/>
                <w:left w:val="none" w:sz="0" w:space="0" w:color="auto"/>
                <w:bottom w:val="none" w:sz="0" w:space="0" w:color="auto"/>
                <w:right w:val="none" w:sz="0" w:space="0" w:color="auto"/>
              </w:divBdr>
              <w:divsChild>
                <w:div w:id="1773746178">
                  <w:marLeft w:val="0"/>
                  <w:marRight w:val="0"/>
                  <w:marTop w:val="0"/>
                  <w:marBottom w:val="0"/>
                  <w:divBdr>
                    <w:top w:val="none" w:sz="0" w:space="0" w:color="auto"/>
                    <w:left w:val="none" w:sz="0" w:space="0" w:color="auto"/>
                    <w:bottom w:val="none" w:sz="0" w:space="0" w:color="auto"/>
                    <w:right w:val="none" w:sz="0" w:space="0" w:color="auto"/>
                  </w:divBdr>
                </w:div>
              </w:divsChild>
            </w:div>
            <w:div w:id="409354957">
              <w:marLeft w:val="240"/>
              <w:marRight w:val="0"/>
              <w:marTop w:val="60"/>
              <w:marBottom w:val="60"/>
              <w:divBdr>
                <w:top w:val="none" w:sz="0" w:space="0" w:color="auto"/>
                <w:left w:val="none" w:sz="0" w:space="0" w:color="auto"/>
                <w:bottom w:val="none" w:sz="0" w:space="0" w:color="auto"/>
                <w:right w:val="none" w:sz="0" w:space="0" w:color="auto"/>
              </w:divBdr>
              <w:divsChild>
                <w:div w:id="964316349">
                  <w:marLeft w:val="0"/>
                  <w:marRight w:val="0"/>
                  <w:marTop w:val="0"/>
                  <w:marBottom w:val="0"/>
                  <w:divBdr>
                    <w:top w:val="none" w:sz="0" w:space="0" w:color="auto"/>
                    <w:left w:val="none" w:sz="0" w:space="0" w:color="auto"/>
                    <w:bottom w:val="none" w:sz="0" w:space="0" w:color="auto"/>
                    <w:right w:val="none" w:sz="0" w:space="0" w:color="auto"/>
                  </w:divBdr>
                </w:div>
              </w:divsChild>
            </w:div>
            <w:div w:id="364673895">
              <w:marLeft w:val="240"/>
              <w:marRight w:val="0"/>
              <w:marTop w:val="60"/>
              <w:marBottom w:val="60"/>
              <w:divBdr>
                <w:top w:val="none" w:sz="0" w:space="0" w:color="auto"/>
                <w:left w:val="none" w:sz="0" w:space="0" w:color="auto"/>
                <w:bottom w:val="none" w:sz="0" w:space="0" w:color="auto"/>
                <w:right w:val="none" w:sz="0" w:space="0" w:color="auto"/>
              </w:divBdr>
              <w:divsChild>
                <w:div w:id="1625235675">
                  <w:marLeft w:val="0"/>
                  <w:marRight w:val="0"/>
                  <w:marTop w:val="0"/>
                  <w:marBottom w:val="0"/>
                  <w:divBdr>
                    <w:top w:val="none" w:sz="0" w:space="0" w:color="auto"/>
                    <w:left w:val="none" w:sz="0" w:space="0" w:color="auto"/>
                    <w:bottom w:val="none" w:sz="0" w:space="0" w:color="auto"/>
                    <w:right w:val="none" w:sz="0" w:space="0" w:color="auto"/>
                  </w:divBdr>
                </w:div>
              </w:divsChild>
            </w:div>
            <w:div w:id="801845143">
              <w:marLeft w:val="240"/>
              <w:marRight w:val="0"/>
              <w:marTop w:val="60"/>
              <w:marBottom w:val="60"/>
              <w:divBdr>
                <w:top w:val="none" w:sz="0" w:space="0" w:color="auto"/>
                <w:left w:val="none" w:sz="0" w:space="0" w:color="auto"/>
                <w:bottom w:val="none" w:sz="0" w:space="0" w:color="auto"/>
                <w:right w:val="none" w:sz="0" w:space="0" w:color="auto"/>
              </w:divBdr>
              <w:divsChild>
                <w:div w:id="1418133525">
                  <w:marLeft w:val="0"/>
                  <w:marRight w:val="0"/>
                  <w:marTop w:val="0"/>
                  <w:marBottom w:val="0"/>
                  <w:divBdr>
                    <w:top w:val="none" w:sz="0" w:space="0" w:color="auto"/>
                    <w:left w:val="none" w:sz="0" w:space="0" w:color="auto"/>
                    <w:bottom w:val="none" w:sz="0" w:space="0" w:color="auto"/>
                    <w:right w:val="none" w:sz="0" w:space="0" w:color="auto"/>
                  </w:divBdr>
                </w:div>
              </w:divsChild>
            </w:div>
            <w:div w:id="1840079459">
              <w:marLeft w:val="240"/>
              <w:marRight w:val="0"/>
              <w:marTop w:val="60"/>
              <w:marBottom w:val="60"/>
              <w:divBdr>
                <w:top w:val="none" w:sz="0" w:space="0" w:color="auto"/>
                <w:left w:val="none" w:sz="0" w:space="0" w:color="auto"/>
                <w:bottom w:val="none" w:sz="0" w:space="0" w:color="auto"/>
                <w:right w:val="none" w:sz="0" w:space="0" w:color="auto"/>
              </w:divBdr>
              <w:divsChild>
                <w:div w:id="14751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4452">
      <w:bodyDiv w:val="1"/>
      <w:marLeft w:val="0"/>
      <w:marRight w:val="0"/>
      <w:marTop w:val="0"/>
      <w:marBottom w:val="0"/>
      <w:divBdr>
        <w:top w:val="none" w:sz="0" w:space="0" w:color="auto"/>
        <w:left w:val="none" w:sz="0" w:space="0" w:color="auto"/>
        <w:bottom w:val="none" w:sz="0" w:space="0" w:color="auto"/>
        <w:right w:val="none" w:sz="0" w:space="0" w:color="auto"/>
      </w:divBdr>
    </w:div>
    <w:div w:id="871652134">
      <w:bodyDiv w:val="1"/>
      <w:marLeft w:val="0"/>
      <w:marRight w:val="0"/>
      <w:marTop w:val="0"/>
      <w:marBottom w:val="0"/>
      <w:divBdr>
        <w:top w:val="none" w:sz="0" w:space="0" w:color="auto"/>
        <w:left w:val="none" w:sz="0" w:space="0" w:color="auto"/>
        <w:bottom w:val="none" w:sz="0" w:space="0" w:color="auto"/>
        <w:right w:val="none" w:sz="0" w:space="0" w:color="auto"/>
      </w:divBdr>
      <w:divsChild>
        <w:div w:id="916354928">
          <w:marLeft w:val="0"/>
          <w:marRight w:val="0"/>
          <w:marTop w:val="0"/>
          <w:marBottom w:val="0"/>
          <w:divBdr>
            <w:top w:val="none" w:sz="0" w:space="0" w:color="auto"/>
            <w:left w:val="none" w:sz="0" w:space="0" w:color="auto"/>
            <w:bottom w:val="none" w:sz="0" w:space="0" w:color="auto"/>
            <w:right w:val="none" w:sz="0" w:space="0" w:color="auto"/>
          </w:divBdr>
          <w:divsChild>
            <w:div w:id="665524187">
              <w:marLeft w:val="0"/>
              <w:marRight w:val="0"/>
              <w:marTop w:val="0"/>
              <w:marBottom w:val="0"/>
              <w:divBdr>
                <w:top w:val="none" w:sz="0" w:space="0" w:color="auto"/>
                <w:left w:val="none" w:sz="0" w:space="0" w:color="auto"/>
                <w:bottom w:val="none" w:sz="0" w:space="0" w:color="auto"/>
                <w:right w:val="none" w:sz="0" w:space="0" w:color="auto"/>
              </w:divBdr>
              <w:divsChild>
                <w:div w:id="9033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9829">
      <w:bodyDiv w:val="1"/>
      <w:marLeft w:val="0"/>
      <w:marRight w:val="0"/>
      <w:marTop w:val="0"/>
      <w:marBottom w:val="0"/>
      <w:divBdr>
        <w:top w:val="none" w:sz="0" w:space="0" w:color="auto"/>
        <w:left w:val="none" w:sz="0" w:space="0" w:color="auto"/>
        <w:bottom w:val="none" w:sz="0" w:space="0" w:color="auto"/>
        <w:right w:val="none" w:sz="0" w:space="0" w:color="auto"/>
      </w:divBdr>
      <w:divsChild>
        <w:div w:id="224147219">
          <w:marLeft w:val="0"/>
          <w:marRight w:val="0"/>
          <w:marTop w:val="0"/>
          <w:marBottom w:val="96"/>
          <w:divBdr>
            <w:top w:val="none" w:sz="0" w:space="0" w:color="auto"/>
            <w:left w:val="none" w:sz="0" w:space="0" w:color="auto"/>
            <w:bottom w:val="none" w:sz="0" w:space="0" w:color="auto"/>
            <w:right w:val="none" w:sz="0" w:space="0" w:color="auto"/>
          </w:divBdr>
          <w:divsChild>
            <w:div w:id="667828102">
              <w:marLeft w:val="0"/>
              <w:marRight w:val="0"/>
              <w:marTop w:val="0"/>
              <w:marBottom w:val="0"/>
              <w:divBdr>
                <w:top w:val="none" w:sz="0" w:space="0" w:color="auto"/>
                <w:left w:val="none" w:sz="0" w:space="0" w:color="auto"/>
                <w:bottom w:val="none" w:sz="0" w:space="0" w:color="auto"/>
                <w:right w:val="none" w:sz="0" w:space="0" w:color="auto"/>
              </w:divBdr>
            </w:div>
          </w:divsChild>
        </w:div>
        <w:div w:id="1993095587">
          <w:marLeft w:val="0"/>
          <w:marRight w:val="0"/>
          <w:marTop w:val="0"/>
          <w:marBottom w:val="96"/>
          <w:divBdr>
            <w:top w:val="none" w:sz="0" w:space="0" w:color="auto"/>
            <w:left w:val="none" w:sz="0" w:space="0" w:color="auto"/>
            <w:bottom w:val="none" w:sz="0" w:space="0" w:color="auto"/>
            <w:right w:val="none" w:sz="0" w:space="0" w:color="auto"/>
          </w:divBdr>
        </w:div>
      </w:divsChild>
    </w:div>
    <w:div w:id="1122578771">
      <w:bodyDiv w:val="1"/>
      <w:marLeft w:val="0"/>
      <w:marRight w:val="0"/>
      <w:marTop w:val="0"/>
      <w:marBottom w:val="0"/>
      <w:divBdr>
        <w:top w:val="none" w:sz="0" w:space="0" w:color="auto"/>
        <w:left w:val="none" w:sz="0" w:space="0" w:color="auto"/>
        <w:bottom w:val="none" w:sz="0" w:space="0" w:color="auto"/>
        <w:right w:val="none" w:sz="0" w:space="0" w:color="auto"/>
      </w:divBdr>
      <w:divsChild>
        <w:div w:id="808715606">
          <w:marLeft w:val="0"/>
          <w:marRight w:val="0"/>
          <w:marTop w:val="0"/>
          <w:marBottom w:val="0"/>
          <w:divBdr>
            <w:top w:val="none" w:sz="0" w:space="0" w:color="auto"/>
            <w:left w:val="none" w:sz="0" w:space="0" w:color="auto"/>
            <w:bottom w:val="none" w:sz="0" w:space="0" w:color="auto"/>
            <w:right w:val="none" w:sz="0" w:space="0" w:color="auto"/>
          </w:divBdr>
          <w:divsChild>
            <w:div w:id="464809294">
              <w:marLeft w:val="0"/>
              <w:marRight w:val="0"/>
              <w:marTop w:val="0"/>
              <w:marBottom w:val="0"/>
              <w:divBdr>
                <w:top w:val="none" w:sz="0" w:space="0" w:color="auto"/>
                <w:left w:val="none" w:sz="0" w:space="0" w:color="auto"/>
                <w:bottom w:val="none" w:sz="0" w:space="0" w:color="auto"/>
                <w:right w:val="none" w:sz="0" w:space="0" w:color="auto"/>
              </w:divBdr>
              <w:divsChild>
                <w:div w:id="1725058327">
                  <w:marLeft w:val="0"/>
                  <w:marRight w:val="0"/>
                  <w:marTop w:val="0"/>
                  <w:marBottom w:val="0"/>
                  <w:divBdr>
                    <w:top w:val="none" w:sz="0" w:space="0" w:color="auto"/>
                    <w:left w:val="none" w:sz="0" w:space="0" w:color="auto"/>
                    <w:bottom w:val="none" w:sz="0" w:space="0" w:color="auto"/>
                    <w:right w:val="none" w:sz="0" w:space="0" w:color="auto"/>
                  </w:divBdr>
                </w:div>
              </w:divsChild>
            </w:div>
            <w:div w:id="1211262792">
              <w:marLeft w:val="0"/>
              <w:marRight w:val="0"/>
              <w:marTop w:val="0"/>
              <w:marBottom w:val="0"/>
              <w:divBdr>
                <w:top w:val="none" w:sz="0" w:space="0" w:color="auto"/>
                <w:left w:val="none" w:sz="0" w:space="0" w:color="auto"/>
                <w:bottom w:val="none" w:sz="0" w:space="0" w:color="auto"/>
                <w:right w:val="none" w:sz="0" w:space="0" w:color="auto"/>
              </w:divBdr>
              <w:divsChild>
                <w:div w:id="19529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612">
      <w:bodyDiv w:val="1"/>
      <w:marLeft w:val="0"/>
      <w:marRight w:val="0"/>
      <w:marTop w:val="0"/>
      <w:marBottom w:val="0"/>
      <w:divBdr>
        <w:top w:val="none" w:sz="0" w:space="0" w:color="auto"/>
        <w:left w:val="none" w:sz="0" w:space="0" w:color="auto"/>
        <w:bottom w:val="none" w:sz="0" w:space="0" w:color="auto"/>
        <w:right w:val="none" w:sz="0" w:space="0" w:color="auto"/>
      </w:divBdr>
    </w:div>
    <w:div w:id="1680421393">
      <w:bodyDiv w:val="1"/>
      <w:marLeft w:val="0"/>
      <w:marRight w:val="0"/>
      <w:marTop w:val="0"/>
      <w:marBottom w:val="0"/>
      <w:divBdr>
        <w:top w:val="none" w:sz="0" w:space="0" w:color="auto"/>
        <w:left w:val="none" w:sz="0" w:space="0" w:color="auto"/>
        <w:bottom w:val="none" w:sz="0" w:space="0" w:color="auto"/>
        <w:right w:val="none" w:sz="0" w:space="0" w:color="auto"/>
      </w:divBdr>
    </w:div>
    <w:div w:id="1777283598">
      <w:bodyDiv w:val="1"/>
      <w:marLeft w:val="0"/>
      <w:marRight w:val="0"/>
      <w:marTop w:val="0"/>
      <w:marBottom w:val="0"/>
      <w:divBdr>
        <w:top w:val="none" w:sz="0" w:space="0" w:color="auto"/>
        <w:left w:val="none" w:sz="0" w:space="0" w:color="auto"/>
        <w:bottom w:val="none" w:sz="0" w:space="0" w:color="auto"/>
        <w:right w:val="none" w:sz="0" w:space="0" w:color="auto"/>
      </w:divBdr>
      <w:divsChild>
        <w:div w:id="1562056811">
          <w:marLeft w:val="0"/>
          <w:marRight w:val="0"/>
          <w:marTop w:val="0"/>
          <w:marBottom w:val="0"/>
          <w:divBdr>
            <w:top w:val="none" w:sz="0" w:space="0" w:color="auto"/>
            <w:left w:val="none" w:sz="0" w:space="0" w:color="auto"/>
            <w:bottom w:val="none" w:sz="0" w:space="0" w:color="auto"/>
            <w:right w:val="none" w:sz="0" w:space="0" w:color="auto"/>
          </w:divBdr>
        </w:div>
        <w:div w:id="123701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20-USC-1420297003-460672621&amp;term_occur=999&amp;term_src=title:20:chapter:28:subchapter:IV:part:G:section:1091" TargetMode="External"/><Relationship Id="rId13" Type="http://schemas.openxmlformats.org/officeDocument/2006/relationships/hyperlink" Target="https://www.law.cornell.edu/definitions/uscode.php?width=840&amp;height=800&amp;iframe=true&amp;def_id=20-USC-1264422296-300208764&amp;term_occur=999&amp;term_src=title:20:chapter:28:subchapter:IV:part:G:section:1091" TargetMode="External"/><Relationship Id="rId18" Type="http://schemas.openxmlformats.org/officeDocument/2006/relationships/hyperlink" Target="https://www.law.cornell.edu/definitions/uscode.php?width=840&amp;height=800&amp;iframe=true&amp;def_id=20-USC-1170964312-1672254014&amp;term_occur=999&amp;term_sr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aw.cornell.edu/topn/fitzgerald_act_apprentice_labor" TargetMode="External"/><Relationship Id="rId7" Type="http://schemas.openxmlformats.org/officeDocument/2006/relationships/endnotes" Target="endnotes.xml"/><Relationship Id="rId12" Type="http://schemas.openxmlformats.org/officeDocument/2006/relationships/hyperlink" Target="https://www.law.cornell.edu/definitions/uscode.php?width=840&amp;height=800&amp;iframe=true&amp;def_id=20-USC-1264422296-300208764&amp;term_occur=999&amp;term_src=title:20:chapter:28:subchapter:IV:part:G:section:1091" TargetMode="External"/><Relationship Id="rId17" Type="http://schemas.openxmlformats.org/officeDocument/2006/relationships/hyperlink" Target="https://www.law.cornell.edu/definitions/uscode.php?width=840&amp;height=800&amp;iframe=true&amp;def_id=20-USC-1170964312-1672254014&amp;term_occur=999&amp;term_sr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w.cornell.edu/definitions/uscode.php?width=840&amp;height=800&amp;iframe=true&amp;def_id=20-USC-1170964312-1672254014&amp;term_occur=999&amp;term_src=" TargetMode="External"/><Relationship Id="rId20" Type="http://schemas.openxmlformats.org/officeDocument/2006/relationships/hyperlink" Target="https://www.law.cornell.edu/definitions/uscode.php?width=840&amp;height=800&amp;iframe=true&amp;def_id=20-USC-1420297003-460672621&amp;term_occur=999&amp;term_src=title:20:chapter:28:subchapter:IV:part:G:section:10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uscode.php?width=840&amp;height=800&amp;iframe=true&amp;def_id=20-USC-1264422296-300208764&amp;term_occur=999&amp;term_src=title:20:chapter:28:subchapter:IV:part:G:section:1091" TargetMode="External"/><Relationship Id="rId24" Type="http://schemas.openxmlformats.org/officeDocument/2006/relationships/hyperlink" Target="https://www.law.cornell.edu/definitions/uscode.php?width=840&amp;height=800&amp;iframe=true&amp;def_id=20-USC-431720352-300208765&amp;term_occur=999&amp;term_src=" TargetMode="External"/><Relationship Id="rId5" Type="http://schemas.openxmlformats.org/officeDocument/2006/relationships/webSettings" Target="webSettings.xml"/><Relationship Id="rId15" Type="http://schemas.openxmlformats.org/officeDocument/2006/relationships/hyperlink" Target="https://www.law.cornell.edu/definitions/uscode.php?width=840&amp;height=800&amp;iframe=true&amp;def_id=20-USC-431720352-300208765&amp;term_occur=999&amp;term_src=" TargetMode="External"/><Relationship Id="rId23" Type="http://schemas.openxmlformats.org/officeDocument/2006/relationships/hyperlink" Target="https://www.law.cornell.edu/uscode/text/29/50" TargetMode="External"/><Relationship Id="rId28" Type="http://schemas.openxmlformats.org/officeDocument/2006/relationships/theme" Target="theme/theme1.xml"/><Relationship Id="rId10" Type="http://schemas.openxmlformats.org/officeDocument/2006/relationships/hyperlink" Target="https://www.law.cornell.edu/definitions/uscode.php?width=840&amp;height=800&amp;iframe=true&amp;def_id=20-USC-1264422296-300208764&amp;term_occur=999&amp;term_src=title:20:chapter:28:subchapter:IV:part:G:section:1091" TargetMode="External"/><Relationship Id="rId19" Type="http://schemas.openxmlformats.org/officeDocument/2006/relationships/hyperlink" Target="https://www.law.cornell.edu/definitions/uscode.php?width=840&amp;height=800&amp;iframe=true&amp;def_id=20-USC-431720352-300208765&amp;term_occur=999&amp;term_src="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20-USC-1264422296-300208764&amp;term_occur=999&amp;term_src=title:20:chapter:28:subchapter:IV:part:G:section:1091" TargetMode="External"/><Relationship Id="rId14" Type="http://schemas.openxmlformats.org/officeDocument/2006/relationships/hyperlink" Target="https://www.law.cornell.edu/definitions/uscode.php?width=840&amp;height=800&amp;iframe=true&amp;def_id=20-USC-1264422296-300208764&amp;term_occur=999&amp;term_src=title:20:chapter:28:subchapter:IV:part:G:section:1091" TargetMode="External"/><Relationship Id="rId22" Type="http://schemas.openxmlformats.org/officeDocument/2006/relationships/hyperlink" Target="https://www.law.cornell.edu/rio/citation/50_Stat._664"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lasp.org/profile/judy-mortrude" TargetMode="External"/><Relationship Id="rId1" Type="http://schemas.openxmlformats.org/officeDocument/2006/relationships/hyperlink" Target="https://www.clasp.org/profile/lauren-wal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227F-41FF-4EE4-B85B-D05494E1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Moore</dc:creator>
  <cp:keywords/>
  <dc:description/>
  <cp:lastModifiedBy>Judy Mortrude</cp:lastModifiedBy>
  <cp:revision>2</cp:revision>
  <dcterms:created xsi:type="dcterms:W3CDTF">2021-03-23T15:34:00Z</dcterms:created>
  <dcterms:modified xsi:type="dcterms:W3CDTF">2021-03-23T15:34:00Z</dcterms:modified>
</cp:coreProperties>
</file>