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15" w:rsidRPr="00D22047" w:rsidRDefault="00950A9D" w:rsidP="00C36415">
      <w:pPr>
        <w:jc w:val="center"/>
        <w:rPr>
          <w:rFonts w:ascii="Calibri" w:hAnsi="Calibri"/>
          <w:b/>
          <w:caps/>
          <w:color w:val="2F5496" w:themeColor="accent5" w:themeShade="BF"/>
          <w:sz w:val="28"/>
          <w:szCs w:val="28"/>
        </w:rPr>
      </w:pPr>
      <w:r>
        <w:rPr>
          <w:b/>
          <w:noProof/>
        </w:rPr>
        <w:drawing>
          <wp:anchor distT="0" distB="0" distL="114300" distR="114300" simplePos="0" relativeHeight="251661312" behindDoc="0" locked="0" layoutInCell="1" allowOverlap="1" wp14:anchorId="273640F8" wp14:editId="676732ED">
            <wp:simplePos x="0" y="0"/>
            <wp:positionH relativeFrom="column">
              <wp:posOffset>5369293</wp:posOffset>
            </wp:positionH>
            <wp:positionV relativeFrom="paragraph">
              <wp:posOffset>-383540</wp:posOffset>
            </wp:positionV>
            <wp:extent cx="1085215" cy="637540"/>
            <wp:effectExtent l="0" t="0" r="635" b="0"/>
            <wp:wrapNone/>
            <wp:docPr id="1" name="Picture 1" descr="K:\LITERACY\NCTN\letterhead &amp; logo &amp; marketing files\NCTN large blue wor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ITERACY\NCTN\letterhead &amp; logo &amp; marketing files\NCTN large blue word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21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noProof/>
        </w:rPr>
        <w:drawing>
          <wp:anchor distT="0" distB="0" distL="114300" distR="114300" simplePos="0" relativeHeight="251659264" behindDoc="0" locked="0" layoutInCell="1" allowOverlap="1" wp14:anchorId="2988B452" wp14:editId="7C7A8527">
            <wp:simplePos x="0" y="0"/>
            <wp:positionH relativeFrom="column">
              <wp:posOffset>-490220</wp:posOffset>
            </wp:positionH>
            <wp:positionV relativeFrom="paragraph">
              <wp:posOffset>-428625</wp:posOffset>
            </wp:positionV>
            <wp:extent cx="1257300" cy="797560"/>
            <wp:effectExtent l="0" t="0" r="0" b="2540"/>
            <wp:wrapNone/>
            <wp:docPr id="4" name="Picture 4" descr="R:\Pictures\GC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Pictures\GCIT.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415" w:rsidRPr="00D22047">
        <w:rPr>
          <w:rFonts w:ascii="Calibri" w:hAnsi="Calibri"/>
          <w:b/>
          <w:caps/>
          <w:color w:val="2F5496" w:themeColor="accent5" w:themeShade="BF"/>
          <w:sz w:val="28"/>
          <w:szCs w:val="28"/>
        </w:rPr>
        <w:t>Faculty Guide to Prior Learning Assessment</w:t>
      </w:r>
    </w:p>
    <w:p w:rsidR="00C36415" w:rsidRPr="00D22047" w:rsidRDefault="00C36415" w:rsidP="00C36415">
      <w:pPr>
        <w:jc w:val="center"/>
        <w:rPr>
          <w:rFonts w:ascii="Calibri" w:hAnsi="Calibri"/>
          <w:b/>
          <w:caps/>
          <w:color w:val="2F5496" w:themeColor="accent5" w:themeShade="BF"/>
          <w:sz w:val="28"/>
          <w:szCs w:val="28"/>
        </w:rPr>
      </w:pPr>
      <w:r w:rsidRPr="00D22047">
        <w:rPr>
          <w:rFonts w:ascii="Calibri" w:hAnsi="Calibri"/>
          <w:b/>
          <w:caps/>
          <w:color w:val="2F5496" w:themeColor="accent5" w:themeShade="BF"/>
          <w:sz w:val="28"/>
          <w:szCs w:val="28"/>
        </w:rPr>
        <w:t>And Challenge exams</w:t>
      </w:r>
    </w:p>
    <w:p w:rsidR="00C36415" w:rsidRDefault="00C36415" w:rsidP="00C36415">
      <w:pPr>
        <w:rPr>
          <w:rFonts w:ascii="Calibri" w:hAnsi="Calibri"/>
        </w:rPr>
      </w:pPr>
    </w:p>
    <w:p w:rsidR="005273E8" w:rsidRDefault="005273E8" w:rsidP="00C36415">
      <w:pPr>
        <w:rPr>
          <w:rFonts w:ascii="Calibri" w:hAnsi="Calibri"/>
        </w:rPr>
      </w:pPr>
    </w:p>
    <w:p w:rsidR="00C36415" w:rsidRPr="00D22047" w:rsidRDefault="00C36415" w:rsidP="00C36415">
      <w:pPr>
        <w:rPr>
          <w:rFonts w:ascii="Calibri" w:hAnsi="Calibri"/>
          <w:b/>
          <w:caps/>
          <w:color w:val="2F5496" w:themeColor="accent5" w:themeShade="BF"/>
          <w:sz w:val="24"/>
        </w:rPr>
      </w:pPr>
      <w:r w:rsidRPr="00D22047">
        <w:rPr>
          <w:rFonts w:ascii="Calibri" w:hAnsi="Calibri"/>
          <w:b/>
          <w:caps/>
          <w:color w:val="2F5496" w:themeColor="accent5" w:themeShade="BF"/>
          <w:sz w:val="24"/>
        </w:rPr>
        <w:t>What is PLA?</w:t>
      </w:r>
    </w:p>
    <w:p w:rsidR="00C36415" w:rsidRDefault="00C36415" w:rsidP="00C36415">
      <w:pPr>
        <w:rPr>
          <w:rFonts w:ascii="Calibri" w:hAnsi="Calibri"/>
        </w:rPr>
      </w:pPr>
      <w:r w:rsidRPr="00D31BA7">
        <w:rPr>
          <w:rFonts w:ascii="Calibri" w:hAnsi="Calibri"/>
        </w:rPr>
        <w:t xml:space="preserve">Prior Learning Assessment (PLA) </w:t>
      </w:r>
      <w:r>
        <w:rPr>
          <w:rFonts w:ascii="Calibri" w:hAnsi="Calibri"/>
        </w:rPr>
        <w:t xml:space="preserve">is an acceleration and completion strategy to recognize and award credit for </w:t>
      </w:r>
      <w:r w:rsidRPr="004334EB">
        <w:rPr>
          <w:rFonts w:ascii="Calibri" w:hAnsi="Calibri"/>
          <w:b/>
          <w:i/>
        </w:rPr>
        <w:t>college-level learning</w:t>
      </w:r>
      <w:r>
        <w:rPr>
          <w:rFonts w:ascii="Calibri" w:hAnsi="Calibri"/>
        </w:rPr>
        <w:t xml:space="preserve">.  </w:t>
      </w:r>
      <w:r w:rsidR="006043EF">
        <w:rPr>
          <w:rFonts w:ascii="Calibri" w:hAnsi="Calibri"/>
        </w:rPr>
        <w:t xml:space="preserve">The process </w:t>
      </w:r>
      <w:r w:rsidRPr="00D31BA7">
        <w:rPr>
          <w:rFonts w:ascii="Calibri" w:hAnsi="Calibri"/>
        </w:rPr>
        <w:t xml:space="preserve">enables learners to demonstrate what they have learned and translate that learning into college credit.  PLA </w:t>
      </w:r>
      <w:r>
        <w:rPr>
          <w:rFonts w:ascii="Calibri" w:hAnsi="Calibri"/>
        </w:rPr>
        <w:t xml:space="preserve">validates knowledge </w:t>
      </w:r>
      <w:r w:rsidRPr="00D31BA7">
        <w:rPr>
          <w:rFonts w:ascii="Calibri" w:hAnsi="Calibri"/>
        </w:rPr>
        <w:t>acquired through life experience, work experience, military experience, civic engagement, individual study and reading, and participation in classes or training sponsored by business and industry, professional organizations or governmen</w:t>
      </w:r>
      <w:r>
        <w:rPr>
          <w:rFonts w:ascii="Calibri" w:hAnsi="Calibri"/>
        </w:rPr>
        <w:t>t agencies.</w:t>
      </w:r>
    </w:p>
    <w:p w:rsidR="00C36415" w:rsidRDefault="00C36415" w:rsidP="00C36415">
      <w:pPr>
        <w:rPr>
          <w:rFonts w:ascii="Calibri" w:hAnsi="Calibri"/>
        </w:rPr>
      </w:pPr>
    </w:p>
    <w:p w:rsidR="00C36415" w:rsidRDefault="00C36415" w:rsidP="00C36415">
      <w:pPr>
        <w:rPr>
          <w:rFonts w:ascii="Calibri" w:hAnsi="Calibri" w:cs="Arial"/>
        </w:rPr>
      </w:pPr>
      <w:r w:rsidRPr="00624507">
        <w:rPr>
          <w:rFonts w:ascii="Calibri" w:hAnsi="Calibri" w:cs="Arial"/>
        </w:rPr>
        <w:t>Credit is awarded for college-level knowledge gained from experience and not for the experience itself.</w:t>
      </w:r>
      <w:r w:rsidRPr="000D4F28">
        <w:rPr>
          <w:rFonts w:ascii="Arial" w:hAnsi="Arial" w:cs="Arial"/>
        </w:rPr>
        <w:t xml:space="preserve"> </w:t>
      </w:r>
      <w:r w:rsidRPr="00624507">
        <w:rPr>
          <w:rFonts w:ascii="Calibri" w:hAnsi="Calibri"/>
          <w:b/>
        </w:rPr>
        <w:t>College-level learning</w:t>
      </w:r>
      <w:r w:rsidRPr="00D31BA7">
        <w:rPr>
          <w:rFonts w:ascii="Calibri" w:hAnsi="Calibri"/>
        </w:rPr>
        <w:t xml:space="preserve"> </w:t>
      </w:r>
      <w:r>
        <w:rPr>
          <w:rFonts w:ascii="Calibri" w:hAnsi="Calibri"/>
        </w:rPr>
        <w:t xml:space="preserve">is validated through PLA when learners </w:t>
      </w:r>
      <w:r w:rsidRPr="007C7F3D">
        <w:rPr>
          <w:rFonts w:ascii="Calibri" w:hAnsi="Calibri"/>
          <w:b/>
          <w:i/>
        </w:rPr>
        <w:t>prove their mastery</w:t>
      </w:r>
      <w:r>
        <w:rPr>
          <w:rFonts w:ascii="Calibri" w:hAnsi="Calibri"/>
        </w:rPr>
        <w:t xml:space="preserve"> of </w:t>
      </w:r>
      <w:r w:rsidRPr="00D31BA7">
        <w:rPr>
          <w:rFonts w:ascii="Calibri" w:hAnsi="Calibri"/>
        </w:rPr>
        <w:t>the knowledge, skills, competencies, and abilities in a specific area of</w:t>
      </w:r>
      <w:r w:rsidR="00D77B2B">
        <w:rPr>
          <w:rFonts w:ascii="Calibri" w:hAnsi="Calibri"/>
        </w:rPr>
        <w:t xml:space="preserve"> study offered by the </w:t>
      </w:r>
      <w:bookmarkStart w:id="0" w:name="_GoBack"/>
      <w:bookmarkEnd w:id="0"/>
      <w:r w:rsidR="00D77B2B">
        <w:rPr>
          <w:rFonts w:ascii="Calibri" w:hAnsi="Calibri"/>
        </w:rPr>
        <w:t>college.</w:t>
      </w:r>
    </w:p>
    <w:p w:rsidR="00C36415" w:rsidRDefault="00C36415" w:rsidP="00C36415">
      <w:pPr>
        <w:rPr>
          <w:rFonts w:ascii="Calibri" w:hAnsi="Calibri" w:cs="Arial"/>
        </w:rPr>
      </w:pPr>
    </w:p>
    <w:p w:rsidR="00C36415" w:rsidRPr="00D22047" w:rsidRDefault="00C36415" w:rsidP="00C36415">
      <w:pPr>
        <w:rPr>
          <w:rFonts w:ascii="Calibri" w:hAnsi="Calibri" w:cs="Arial"/>
          <w:b/>
          <w:caps/>
          <w:color w:val="2F5496" w:themeColor="accent5" w:themeShade="BF"/>
          <w:sz w:val="24"/>
        </w:rPr>
      </w:pPr>
      <w:r w:rsidRPr="00D22047">
        <w:rPr>
          <w:rFonts w:ascii="Calibri" w:hAnsi="Calibri" w:cs="Arial"/>
          <w:b/>
          <w:caps/>
          <w:color w:val="2F5496" w:themeColor="accent5" w:themeShade="BF"/>
          <w:sz w:val="24"/>
        </w:rPr>
        <w:t>Why is PLA an Important Completion Strategy?</w:t>
      </w:r>
    </w:p>
    <w:p w:rsidR="00C36415" w:rsidRPr="00D16C3C" w:rsidRDefault="004334EB" w:rsidP="00C36415">
      <w:pPr>
        <w:rPr>
          <w:rFonts w:ascii="Calibri" w:hAnsi="Calibri" w:cs="Arial"/>
        </w:rPr>
      </w:pPr>
      <w:r>
        <w:rPr>
          <w:rFonts w:ascii="Calibri" w:hAnsi="Calibri" w:cs="Arial"/>
        </w:rPr>
        <w:t>The U.S.</w:t>
      </w:r>
      <w:r w:rsidR="00C36415" w:rsidRPr="00D16C3C">
        <w:rPr>
          <w:rFonts w:ascii="Calibri" w:hAnsi="Calibri" w:cs="Arial"/>
        </w:rPr>
        <w:t xml:space="preserve"> is on collision course with regards to having a skilled workforce to meet the </w:t>
      </w:r>
      <w:r w:rsidR="00D123C1">
        <w:rPr>
          <w:rFonts w:ascii="Calibri" w:hAnsi="Calibri" w:cs="Arial"/>
        </w:rPr>
        <w:t xml:space="preserve">future </w:t>
      </w:r>
      <w:r w:rsidR="00C36415" w:rsidRPr="00D16C3C">
        <w:rPr>
          <w:rFonts w:ascii="Calibri" w:hAnsi="Calibri" w:cs="Arial"/>
        </w:rPr>
        <w:t>needs of business and industry.  By 2018, the U.S. economy will have jobs for 22</w:t>
      </w:r>
      <w:r w:rsidR="007C7F3D">
        <w:rPr>
          <w:rFonts w:ascii="Calibri" w:hAnsi="Calibri" w:cs="Arial"/>
        </w:rPr>
        <w:t xml:space="preserve"> million with college degrees. Concomitantly, </w:t>
      </w:r>
      <w:r w:rsidR="00C36415" w:rsidRPr="00D16C3C">
        <w:rPr>
          <w:rFonts w:ascii="Calibri" w:hAnsi="Calibri" w:cs="Arial"/>
        </w:rPr>
        <w:t>63% of all jobs in the U.S. economy will require some type of postsecondary training.  However, at the rate of production currently seen at colleges and universities</w:t>
      </w:r>
      <w:r w:rsidR="007C7F3D">
        <w:rPr>
          <w:rFonts w:ascii="Calibri" w:hAnsi="Calibri" w:cs="Arial"/>
        </w:rPr>
        <w:t xml:space="preserve"> there is a</w:t>
      </w:r>
      <w:r w:rsidR="00C36415" w:rsidRPr="00D16C3C">
        <w:rPr>
          <w:rFonts w:ascii="Calibri" w:hAnsi="Calibri" w:cs="Arial"/>
        </w:rPr>
        <w:t xml:space="preserve"> project</w:t>
      </w:r>
      <w:r w:rsidR="007C7F3D">
        <w:rPr>
          <w:rFonts w:ascii="Calibri" w:hAnsi="Calibri" w:cs="Arial"/>
        </w:rPr>
        <w:t>ed</w:t>
      </w:r>
      <w:r w:rsidR="00C36415" w:rsidRPr="00D16C3C">
        <w:rPr>
          <w:rFonts w:ascii="Calibri" w:hAnsi="Calibri" w:cs="Arial"/>
        </w:rPr>
        <w:t xml:space="preserve"> </w:t>
      </w:r>
      <w:r w:rsidR="007C7F3D">
        <w:rPr>
          <w:rFonts w:ascii="Calibri" w:hAnsi="Calibri" w:cs="Arial"/>
        </w:rPr>
        <w:t>shortfall</w:t>
      </w:r>
      <w:r w:rsidR="00C36415" w:rsidRPr="00D16C3C">
        <w:rPr>
          <w:rFonts w:ascii="Calibri" w:hAnsi="Calibri" w:cs="Arial"/>
        </w:rPr>
        <w:t xml:space="preserve"> of nearly 8 million people with </w:t>
      </w:r>
      <w:r w:rsidR="00C36415" w:rsidRPr="00D77B2B">
        <w:rPr>
          <w:rFonts w:ascii="Calibri" w:hAnsi="Calibri" w:cs="Arial"/>
        </w:rPr>
        <w:t>degrees.</w:t>
      </w:r>
      <w:r>
        <w:rPr>
          <w:rStyle w:val="FootnoteReference"/>
          <w:rFonts w:ascii="Calibri" w:hAnsi="Calibri"/>
        </w:rPr>
        <w:footnoteReference w:id="1"/>
      </w:r>
      <w:r w:rsidR="00D77B2B">
        <w:rPr>
          <w:rFonts w:ascii="Calibri" w:hAnsi="Calibri" w:cs="Arial"/>
        </w:rPr>
        <w:t xml:space="preserve"> </w:t>
      </w:r>
      <w:r>
        <w:rPr>
          <w:rFonts w:ascii="Calibri" w:hAnsi="Calibri" w:cs="Arial"/>
        </w:rPr>
        <w:t xml:space="preserve"> </w:t>
      </w:r>
      <w:r w:rsidR="00C36415" w:rsidRPr="00D16C3C">
        <w:rPr>
          <w:rFonts w:ascii="Calibri" w:hAnsi="Calibri" w:cs="Arial"/>
        </w:rPr>
        <w:t>Accordingly:</w:t>
      </w:r>
    </w:p>
    <w:p w:rsidR="00C36415" w:rsidRPr="00D16C3C" w:rsidRDefault="00D77B2B" w:rsidP="00C36415">
      <w:pPr>
        <w:pStyle w:val="ListParagraph"/>
        <w:numPr>
          <w:ilvl w:val="0"/>
          <w:numId w:val="4"/>
        </w:numPr>
        <w:rPr>
          <w:rFonts w:ascii="Calibri" w:hAnsi="Calibri"/>
        </w:rPr>
      </w:pPr>
      <w:r>
        <w:rPr>
          <w:rFonts w:ascii="Calibri" w:hAnsi="Calibri"/>
        </w:rPr>
        <w:t>College completion rates are dismally low - o</w:t>
      </w:r>
      <w:r w:rsidR="00C36415" w:rsidRPr="00D16C3C">
        <w:rPr>
          <w:rFonts w:ascii="Calibri" w:hAnsi="Calibri"/>
        </w:rPr>
        <w:t>nly 34% of all college students graduate with a degree fr</w:t>
      </w:r>
      <w:r w:rsidR="00C36415">
        <w:rPr>
          <w:rFonts w:ascii="Calibri" w:hAnsi="Calibri"/>
        </w:rPr>
        <w:t>om a two or four-year college.</w:t>
      </w:r>
      <w:r w:rsidR="00C36415">
        <w:rPr>
          <w:rStyle w:val="FootnoteReference"/>
          <w:rFonts w:ascii="Calibri" w:hAnsi="Calibri"/>
        </w:rPr>
        <w:footnoteReference w:id="2"/>
      </w:r>
    </w:p>
    <w:p w:rsidR="00C36415" w:rsidRPr="00D16C3C" w:rsidRDefault="00C36415" w:rsidP="00C36415">
      <w:pPr>
        <w:pStyle w:val="ListParagraph"/>
        <w:numPr>
          <w:ilvl w:val="0"/>
          <w:numId w:val="4"/>
        </w:numPr>
        <w:rPr>
          <w:rFonts w:ascii="Calibri" w:hAnsi="Calibri" w:cs="Arial"/>
        </w:rPr>
      </w:pPr>
      <w:r w:rsidRPr="00D16C3C">
        <w:rPr>
          <w:rFonts w:ascii="Calibri" w:hAnsi="Calibri"/>
        </w:rPr>
        <w:t xml:space="preserve">Only 3 out of 10 students who start at </w:t>
      </w:r>
      <w:r w:rsidR="00D77B2B">
        <w:rPr>
          <w:rFonts w:ascii="Calibri" w:hAnsi="Calibri"/>
        </w:rPr>
        <w:t>a community college</w:t>
      </w:r>
      <w:r w:rsidRPr="00D16C3C">
        <w:rPr>
          <w:rFonts w:ascii="Calibri" w:hAnsi="Calibri"/>
        </w:rPr>
        <w:t xml:space="preserve"> full-time graduate</w:t>
      </w:r>
      <w:r w:rsidR="00D77B2B">
        <w:rPr>
          <w:rFonts w:ascii="Calibri" w:hAnsi="Calibri"/>
        </w:rPr>
        <w:t>s</w:t>
      </w:r>
      <w:r w:rsidRPr="00D16C3C">
        <w:rPr>
          <w:rFonts w:ascii="Calibri" w:hAnsi="Calibri"/>
        </w:rPr>
        <w:t xml:space="preserve"> with an associate </w:t>
      </w:r>
      <w:proofErr w:type="gramStart"/>
      <w:r w:rsidRPr="00D16C3C">
        <w:rPr>
          <w:rFonts w:ascii="Calibri" w:hAnsi="Calibri"/>
        </w:rPr>
        <w:t>degree</w:t>
      </w:r>
      <w:proofErr w:type="gramEnd"/>
      <w:r w:rsidRPr="00D16C3C">
        <w:rPr>
          <w:rFonts w:ascii="Calibri" w:hAnsi="Calibri"/>
        </w:rPr>
        <w:t xml:space="preserve"> in three years.</w:t>
      </w:r>
      <w:r>
        <w:rPr>
          <w:rStyle w:val="FootnoteReference"/>
          <w:rFonts w:ascii="Calibri" w:hAnsi="Calibri"/>
        </w:rPr>
        <w:footnoteReference w:id="3"/>
      </w:r>
    </w:p>
    <w:p w:rsidR="00C36415" w:rsidRPr="00D16C3C" w:rsidRDefault="00C36415" w:rsidP="00C36415">
      <w:pPr>
        <w:pStyle w:val="ListParagraph"/>
        <w:numPr>
          <w:ilvl w:val="0"/>
          <w:numId w:val="4"/>
        </w:numPr>
        <w:rPr>
          <w:rFonts w:ascii="Calibri" w:hAnsi="Calibri" w:cs="Arial"/>
        </w:rPr>
      </w:pPr>
      <w:r w:rsidRPr="00D16C3C">
        <w:rPr>
          <w:rFonts w:ascii="Calibri" w:hAnsi="Calibri"/>
        </w:rPr>
        <w:t>The United States ranks sixth in the world in postsecondary attainment among 25-64 year-olds with only 40.3% of the population holding an associate’s degree or higher.</w:t>
      </w:r>
      <w:r>
        <w:rPr>
          <w:rStyle w:val="FootnoteReference"/>
          <w:rFonts w:ascii="Calibri" w:hAnsi="Calibri"/>
        </w:rPr>
        <w:footnoteReference w:id="4"/>
      </w:r>
    </w:p>
    <w:p w:rsidR="00C36415" w:rsidRDefault="00C36415" w:rsidP="00C36415">
      <w:pPr>
        <w:rPr>
          <w:rFonts w:ascii="Calibri" w:hAnsi="Calibri" w:cs="Arial"/>
        </w:rPr>
      </w:pPr>
    </w:p>
    <w:p w:rsidR="007C7F3D" w:rsidRPr="007C7F3D" w:rsidRDefault="00D77B2B" w:rsidP="007C7F3D">
      <w:pPr>
        <w:rPr>
          <w:rFonts w:ascii="Calibri" w:hAnsi="Calibri"/>
        </w:rPr>
      </w:pPr>
      <w:r>
        <w:rPr>
          <w:rFonts w:ascii="Calibri" w:hAnsi="Calibri"/>
        </w:rPr>
        <w:t>W</w:t>
      </w:r>
      <w:r w:rsidR="007C7F3D">
        <w:rPr>
          <w:rFonts w:ascii="Calibri" w:hAnsi="Calibri"/>
        </w:rPr>
        <w:t>e n</w:t>
      </w:r>
      <w:r w:rsidR="007C7F3D" w:rsidRPr="007C7F3D">
        <w:rPr>
          <w:rFonts w:ascii="Calibri" w:hAnsi="Calibri"/>
        </w:rPr>
        <w:t xml:space="preserve">eed </w:t>
      </w:r>
      <w:r>
        <w:rPr>
          <w:rFonts w:ascii="Calibri" w:hAnsi="Calibri"/>
        </w:rPr>
        <w:t xml:space="preserve">an effective strategy </w:t>
      </w:r>
      <w:r w:rsidR="007C7F3D" w:rsidRPr="007C7F3D">
        <w:rPr>
          <w:rFonts w:ascii="Calibri" w:hAnsi="Calibri"/>
        </w:rPr>
        <w:t>to accelerate adult degree completion</w:t>
      </w:r>
      <w:r w:rsidR="007C7F3D">
        <w:rPr>
          <w:rFonts w:ascii="Calibri" w:hAnsi="Calibri"/>
        </w:rPr>
        <w:t xml:space="preserve">!  Research on adults who have been awarded some type of credit for prior learning proves that PLA is an effective completion strategy.  </w:t>
      </w:r>
      <w:r w:rsidR="007C7F3D" w:rsidRPr="007C7F3D">
        <w:rPr>
          <w:rFonts w:ascii="Calibri" w:hAnsi="Calibri"/>
        </w:rPr>
        <w:t>The Council for Adult a</w:t>
      </w:r>
      <w:r w:rsidR="007C7F3D">
        <w:rPr>
          <w:rFonts w:ascii="Calibri" w:hAnsi="Calibri"/>
        </w:rPr>
        <w:t xml:space="preserve">nd Experiential Learning </w:t>
      </w:r>
      <w:r w:rsidR="00D123C1">
        <w:rPr>
          <w:rFonts w:ascii="Calibri" w:hAnsi="Calibri"/>
        </w:rPr>
        <w:t xml:space="preserve">(CAEL) </w:t>
      </w:r>
      <w:r w:rsidR="007C7F3D">
        <w:rPr>
          <w:rFonts w:ascii="Calibri" w:hAnsi="Calibri"/>
        </w:rPr>
        <w:t>studied</w:t>
      </w:r>
      <w:r w:rsidR="007C7F3D" w:rsidRPr="007C7F3D">
        <w:rPr>
          <w:rFonts w:ascii="Calibri" w:hAnsi="Calibri"/>
        </w:rPr>
        <w:t xml:space="preserve"> more than 62,000 adult students from 48 postsecondary institutions </w:t>
      </w:r>
      <w:r w:rsidR="007C7F3D">
        <w:rPr>
          <w:rFonts w:ascii="Calibri" w:hAnsi="Calibri"/>
        </w:rPr>
        <w:t>and found that adults who earned credit through P</w:t>
      </w:r>
      <w:r w:rsidR="007C7F3D" w:rsidRPr="007C7F3D">
        <w:rPr>
          <w:rFonts w:ascii="Calibri" w:hAnsi="Calibri"/>
        </w:rPr>
        <w:t xml:space="preserve">LA </w:t>
      </w:r>
      <w:r>
        <w:rPr>
          <w:rFonts w:ascii="Calibri" w:hAnsi="Calibri"/>
        </w:rPr>
        <w:t xml:space="preserve">had higher completion rates and lower time to degree than students who had not earned PLA credit. In fact, these learners </w:t>
      </w:r>
      <w:r w:rsidR="007C7F3D" w:rsidRPr="007C7F3D">
        <w:rPr>
          <w:rFonts w:ascii="Calibri" w:hAnsi="Calibri"/>
        </w:rPr>
        <w:t>were two-and-a-half times more l</w:t>
      </w:r>
      <w:r>
        <w:rPr>
          <w:rFonts w:ascii="Calibri" w:hAnsi="Calibri"/>
        </w:rPr>
        <w:t>ikely to complete a degree!</w:t>
      </w:r>
      <w:r w:rsidR="007C7F3D" w:rsidRPr="007C7F3D">
        <w:rPr>
          <w:rFonts w:ascii="Calibri" w:hAnsi="Calibri"/>
        </w:rPr>
        <w:t xml:space="preserve"> This was true for students regardless of </w:t>
      </w:r>
      <w:r w:rsidR="007C7F3D" w:rsidRPr="007C7F3D">
        <w:rPr>
          <w:rFonts w:ascii="Calibri" w:hAnsi="Calibri"/>
        </w:rPr>
        <w:lastRenderedPageBreak/>
        <w:t>race/ethnicity, age, financial aid status, or gender.</w:t>
      </w:r>
      <w:r w:rsidR="007C7F3D">
        <w:rPr>
          <w:rStyle w:val="FootnoteReference"/>
          <w:rFonts w:ascii="Calibri" w:hAnsi="Calibri"/>
        </w:rPr>
        <w:footnoteReference w:id="5"/>
      </w:r>
      <w:r w:rsidR="007C7F3D">
        <w:rPr>
          <w:rFonts w:ascii="Calibri" w:hAnsi="Calibri"/>
        </w:rPr>
        <w:t xml:space="preserve">  </w:t>
      </w:r>
      <w:r>
        <w:rPr>
          <w:rFonts w:ascii="Calibri" w:hAnsi="Calibri"/>
        </w:rPr>
        <w:t xml:space="preserve">Additionally, credit earned through PLA </w:t>
      </w:r>
      <w:r w:rsidR="00467D78">
        <w:rPr>
          <w:rFonts w:ascii="Calibri" w:hAnsi="Calibri"/>
        </w:rPr>
        <w:t xml:space="preserve">save students </w:t>
      </w:r>
      <w:r w:rsidR="007C7F3D" w:rsidRPr="007C7F3D">
        <w:rPr>
          <w:rFonts w:ascii="Calibri" w:hAnsi="Calibri"/>
        </w:rPr>
        <w:t>time and money in earning a degree</w:t>
      </w:r>
      <w:r>
        <w:rPr>
          <w:rFonts w:ascii="Calibri" w:hAnsi="Calibri"/>
        </w:rPr>
        <w:t>.</w:t>
      </w:r>
    </w:p>
    <w:p w:rsidR="00C36415" w:rsidRPr="00D16C3C" w:rsidRDefault="00C36415" w:rsidP="00C36415">
      <w:pPr>
        <w:rPr>
          <w:rFonts w:ascii="Calibri" w:hAnsi="Calibri" w:cs="Arial"/>
        </w:rPr>
      </w:pPr>
    </w:p>
    <w:p w:rsidR="00C36415" w:rsidRPr="00D22047" w:rsidRDefault="00F15D2A" w:rsidP="00C36415">
      <w:pPr>
        <w:rPr>
          <w:rFonts w:ascii="Calibri" w:hAnsi="Calibri"/>
          <w:b/>
          <w:caps/>
          <w:color w:val="2F5496" w:themeColor="accent5" w:themeShade="BF"/>
          <w:sz w:val="24"/>
        </w:rPr>
      </w:pPr>
      <w:r w:rsidRPr="00D22047">
        <w:rPr>
          <w:rFonts w:ascii="Calibri" w:hAnsi="Calibri"/>
          <w:b/>
          <w:caps/>
          <w:color w:val="2F5496" w:themeColor="accent5" w:themeShade="BF"/>
          <w:sz w:val="24"/>
        </w:rPr>
        <w:t>PLA and Accreditation</w:t>
      </w:r>
    </w:p>
    <w:p w:rsidR="00F15D2A" w:rsidRDefault="00EA7E50" w:rsidP="00F15D2A">
      <w:pPr>
        <w:rPr>
          <w:rFonts w:ascii="Calibri" w:hAnsi="Calibri"/>
        </w:rPr>
      </w:pPr>
      <w:r>
        <w:rPr>
          <w:rFonts w:ascii="Calibri" w:hAnsi="Calibri"/>
        </w:rPr>
        <w:t xml:space="preserve">Given the long history of advanced placement examinations, PLA has been recognized by accreditation organizations for a long time.  What is </w:t>
      </w:r>
      <w:r w:rsidR="00467D78">
        <w:rPr>
          <w:rFonts w:ascii="Calibri" w:hAnsi="Calibri"/>
        </w:rPr>
        <w:t xml:space="preserve">the </w:t>
      </w:r>
      <w:r>
        <w:rPr>
          <w:rFonts w:ascii="Calibri" w:hAnsi="Calibri"/>
        </w:rPr>
        <w:t>most clear and important in these standards is the important role played by the faculty in validating college-level learning.  In MS and LA, a</w:t>
      </w:r>
      <w:r w:rsidR="00F15D2A">
        <w:rPr>
          <w:rFonts w:ascii="Calibri" w:hAnsi="Calibri"/>
        </w:rPr>
        <w:t xml:space="preserve">ll </w:t>
      </w:r>
      <w:r w:rsidR="00F15D2A" w:rsidRPr="00D31BA7">
        <w:rPr>
          <w:rFonts w:ascii="Calibri" w:hAnsi="Calibri"/>
        </w:rPr>
        <w:t xml:space="preserve">credits awarded for PLA, must be in accordance with </w:t>
      </w:r>
      <w:r w:rsidR="008C2EC4" w:rsidRPr="008C2EC4">
        <w:rPr>
          <w:rFonts w:asciiTheme="minorHAnsi" w:hAnsiTheme="minorHAnsi"/>
          <w:szCs w:val="22"/>
          <w:shd w:val="clear" w:color="auto" w:fill="FFFFFF"/>
        </w:rPr>
        <w:t>Southern Association of Colleges and Schools Commission on Colleges</w:t>
      </w:r>
      <w:r w:rsidR="008C2EC4">
        <w:rPr>
          <w:rFonts w:ascii="Verdana" w:hAnsi="Verdana"/>
          <w:sz w:val="17"/>
          <w:szCs w:val="17"/>
          <w:shd w:val="clear" w:color="auto" w:fill="FFFFFF"/>
        </w:rPr>
        <w:t xml:space="preserve"> </w:t>
      </w:r>
      <w:r w:rsidR="00B8604A">
        <w:rPr>
          <w:rFonts w:ascii="Verdana" w:hAnsi="Verdana"/>
          <w:sz w:val="17"/>
          <w:szCs w:val="17"/>
          <w:shd w:val="clear" w:color="auto" w:fill="FFFFFF"/>
        </w:rPr>
        <w:t>(</w:t>
      </w:r>
      <w:r w:rsidR="00F15D2A">
        <w:rPr>
          <w:rFonts w:ascii="Calibri" w:hAnsi="Calibri"/>
        </w:rPr>
        <w:t>SACS</w:t>
      </w:r>
      <w:r w:rsidR="00B8604A">
        <w:rPr>
          <w:rFonts w:ascii="Calibri" w:hAnsi="Calibri"/>
        </w:rPr>
        <w:t>)</w:t>
      </w:r>
      <w:r w:rsidR="00F15D2A">
        <w:rPr>
          <w:rFonts w:ascii="Calibri" w:hAnsi="Calibri"/>
        </w:rPr>
        <w:t xml:space="preserve"> Standard 3.4.</w:t>
      </w:r>
    </w:p>
    <w:p w:rsidR="00F15D2A" w:rsidRPr="00D31BA7" w:rsidRDefault="00F15D2A" w:rsidP="00F15D2A">
      <w:pPr>
        <w:rPr>
          <w:rFonts w:ascii="Calibri" w:hAnsi="Calibri"/>
        </w:rPr>
      </w:pPr>
    </w:p>
    <w:p w:rsidR="00C36415" w:rsidRPr="00D31BA7" w:rsidRDefault="00C36415" w:rsidP="00C36415">
      <w:pPr>
        <w:ind w:left="360" w:right="900"/>
        <w:rPr>
          <w:rFonts w:ascii="Calibri" w:hAnsi="Calibri"/>
          <w:b/>
        </w:rPr>
      </w:pPr>
      <w:r w:rsidRPr="00D31BA7">
        <w:rPr>
          <w:rFonts w:ascii="Calibri" w:hAnsi="Calibri"/>
        </w:rPr>
        <w:t>The institution publishes policies that include criteria for evaluating, awarding, and accepting credit for transfer, experiential learning, credit by examination, Advanced Placement, and professional certificates that is consistent with its mission and ensures that course work and learning outcomes are at the collegiate level and comparable to the institution’s own degree programs. The institution assumes responsibility for the academic quality of any course work or credit recorded on the institution’s transcript.</w:t>
      </w:r>
      <w:r w:rsidRPr="00A65261">
        <w:rPr>
          <w:rStyle w:val="FootnoteReference1"/>
          <w:rFonts w:ascii="Calibri" w:hAnsi="Calibri"/>
        </w:rPr>
        <w:footnoteReference w:id="6"/>
      </w:r>
    </w:p>
    <w:p w:rsidR="00C36415" w:rsidRPr="00D31BA7" w:rsidRDefault="00C36415" w:rsidP="00C36415">
      <w:pPr>
        <w:rPr>
          <w:rFonts w:ascii="Calibri" w:hAnsi="Calibri"/>
        </w:rPr>
      </w:pPr>
    </w:p>
    <w:p w:rsidR="00C36415" w:rsidRPr="00D31BA7" w:rsidRDefault="0000539E" w:rsidP="00C36415">
      <w:pPr>
        <w:rPr>
          <w:rFonts w:ascii="Calibri" w:hAnsi="Calibri"/>
        </w:rPr>
      </w:pPr>
      <w:r>
        <w:rPr>
          <w:rFonts w:ascii="Calibri" w:hAnsi="Calibri"/>
        </w:rPr>
        <w:t xml:space="preserve">Since </w:t>
      </w:r>
      <w:r w:rsidR="00C36415" w:rsidRPr="00D31BA7">
        <w:rPr>
          <w:rFonts w:ascii="Calibri" w:hAnsi="Calibri"/>
        </w:rPr>
        <w:t xml:space="preserve">PLA credit is awarded when </w:t>
      </w:r>
      <w:r w:rsidR="00C36415" w:rsidRPr="00EA7E50">
        <w:rPr>
          <w:rFonts w:ascii="Calibri" w:hAnsi="Calibri"/>
          <w:b/>
          <w:i/>
        </w:rPr>
        <w:t>faculty assess for college-level learning</w:t>
      </w:r>
      <w:r w:rsidR="00C36415" w:rsidRPr="00D31BA7">
        <w:rPr>
          <w:rFonts w:ascii="Calibri" w:hAnsi="Calibri"/>
        </w:rPr>
        <w:t>, where the student obtained the learning, say in a nontraditional setting or institution or through the college’s workforce education division, is</w:t>
      </w:r>
      <w:r w:rsidR="00C36415">
        <w:rPr>
          <w:rFonts w:ascii="Calibri" w:hAnsi="Calibri"/>
        </w:rPr>
        <w:t xml:space="preserve"> not a criterion</w:t>
      </w:r>
      <w:r w:rsidR="00C36415" w:rsidRPr="00D31BA7">
        <w:rPr>
          <w:rFonts w:ascii="Calibri" w:hAnsi="Calibri"/>
        </w:rPr>
        <w:t>.  If the college-level learning is evaluated and assessed by a college faculty member who meets SAC</w:t>
      </w:r>
      <w:r w:rsidR="00C36415">
        <w:rPr>
          <w:rFonts w:ascii="Calibri" w:hAnsi="Calibri"/>
        </w:rPr>
        <w:t>S</w:t>
      </w:r>
      <w:r w:rsidR="00C36415" w:rsidRPr="00D31BA7">
        <w:rPr>
          <w:rFonts w:ascii="Calibri" w:hAnsi="Calibri"/>
        </w:rPr>
        <w:t xml:space="preserve"> requirements, then PLA credit can be awarded based on such faculty evaluation.</w:t>
      </w:r>
      <w:r w:rsidR="00C36415" w:rsidRPr="00D31BA7">
        <w:rPr>
          <w:rStyle w:val="FootnoteReference1"/>
          <w:rFonts w:ascii="Calibri" w:hAnsi="Calibri"/>
        </w:rPr>
        <w:footnoteReference w:id="7"/>
      </w:r>
    </w:p>
    <w:p w:rsidR="00C36415" w:rsidRPr="00D31BA7" w:rsidRDefault="00C36415" w:rsidP="00C36415">
      <w:pPr>
        <w:rPr>
          <w:rFonts w:ascii="Calibri" w:hAnsi="Calibri"/>
        </w:rPr>
      </w:pPr>
    </w:p>
    <w:p w:rsidR="00C36415" w:rsidRPr="00D22047" w:rsidRDefault="00EA7E50" w:rsidP="00C36415">
      <w:pPr>
        <w:rPr>
          <w:rFonts w:ascii="Calibri" w:hAnsi="Calibri"/>
          <w:b/>
          <w:caps/>
          <w:color w:val="2F5496" w:themeColor="accent5" w:themeShade="BF"/>
          <w:sz w:val="24"/>
        </w:rPr>
      </w:pPr>
      <w:r w:rsidRPr="00D22047">
        <w:rPr>
          <w:rFonts w:ascii="Calibri" w:hAnsi="Calibri"/>
          <w:b/>
          <w:caps/>
          <w:color w:val="2F5496" w:themeColor="accent5" w:themeShade="BF"/>
          <w:sz w:val="24"/>
        </w:rPr>
        <w:t>Role of Faculty and Chief Academic Officer in PLA</w:t>
      </w:r>
    </w:p>
    <w:p w:rsidR="00102171" w:rsidRDefault="00EA7E50" w:rsidP="00C36415">
      <w:pPr>
        <w:pStyle w:val="ListParagraph"/>
        <w:tabs>
          <w:tab w:val="left" w:pos="720"/>
        </w:tabs>
        <w:ind w:left="0"/>
        <w:rPr>
          <w:rFonts w:ascii="Calibri" w:hAnsi="Calibri"/>
        </w:rPr>
      </w:pPr>
      <w:r>
        <w:rPr>
          <w:rFonts w:ascii="Calibri" w:hAnsi="Calibri"/>
        </w:rPr>
        <w:t xml:space="preserve">Of utmost importance </w:t>
      </w:r>
      <w:r w:rsidR="00C50BF8">
        <w:rPr>
          <w:rFonts w:ascii="Calibri" w:hAnsi="Calibri"/>
        </w:rPr>
        <w:t xml:space="preserve">in awarding prior learning credit </w:t>
      </w:r>
      <w:r>
        <w:rPr>
          <w:rFonts w:ascii="Calibri" w:hAnsi="Calibri"/>
        </w:rPr>
        <w:t xml:space="preserve">is </w:t>
      </w:r>
      <w:r w:rsidR="00C50BF8">
        <w:rPr>
          <w:rFonts w:ascii="Calibri" w:hAnsi="Calibri"/>
        </w:rPr>
        <w:t xml:space="preserve">the maintenance of </w:t>
      </w:r>
      <w:r>
        <w:rPr>
          <w:rFonts w:ascii="Calibri" w:hAnsi="Calibri"/>
        </w:rPr>
        <w:t>academic integrity!  Remember, college-level learning is validated through PLA when learners prove their mastery of the</w:t>
      </w:r>
      <w:r w:rsidR="00C50BF8">
        <w:rPr>
          <w:rFonts w:ascii="Calibri" w:hAnsi="Calibri"/>
        </w:rPr>
        <w:t xml:space="preserve"> subject matter.  Undoubtedly, f</w:t>
      </w:r>
      <w:r>
        <w:rPr>
          <w:rFonts w:ascii="Calibri" w:hAnsi="Calibri"/>
        </w:rPr>
        <w:t>aculty is responsible for the academic integrity of the curriculum.</w:t>
      </w:r>
      <w:r w:rsidR="00102171">
        <w:rPr>
          <w:rStyle w:val="FootnoteReference"/>
          <w:rFonts w:ascii="Calibri" w:hAnsi="Calibri"/>
        </w:rPr>
        <w:footnoteReference w:id="8"/>
      </w:r>
      <w:r>
        <w:rPr>
          <w:rFonts w:ascii="Calibri" w:hAnsi="Calibri"/>
        </w:rPr>
        <w:t xml:space="preserve">  Therefore, </w:t>
      </w:r>
      <w:r w:rsidRPr="00EA7E50">
        <w:rPr>
          <w:rFonts w:ascii="Calibri" w:hAnsi="Calibri"/>
        </w:rPr>
        <w:t>the determination of credit awards or competency levels must be made by faculty or a subject matter expert whose experience and credentials are appropriate to a faculty position.</w:t>
      </w:r>
      <w:r w:rsidR="0033264D">
        <w:rPr>
          <w:rFonts w:ascii="Calibri" w:hAnsi="Calibri"/>
        </w:rPr>
        <w:t xml:space="preserve">  </w:t>
      </w:r>
      <w:r w:rsidR="00102171">
        <w:rPr>
          <w:rFonts w:ascii="Calibri" w:hAnsi="Calibri"/>
        </w:rPr>
        <w:t>Faculty should also be involved in the development of college policies and procedures for awarding PLA.</w:t>
      </w:r>
    </w:p>
    <w:p w:rsidR="00102171" w:rsidRDefault="00102171" w:rsidP="00C36415">
      <w:pPr>
        <w:pStyle w:val="ListParagraph"/>
        <w:tabs>
          <w:tab w:val="left" w:pos="720"/>
        </w:tabs>
        <w:ind w:left="0"/>
        <w:rPr>
          <w:rFonts w:ascii="Calibri" w:hAnsi="Calibri"/>
        </w:rPr>
      </w:pPr>
    </w:p>
    <w:p w:rsidR="00C36415" w:rsidRDefault="00102171" w:rsidP="00C36415">
      <w:pPr>
        <w:pStyle w:val="ListParagraph"/>
        <w:tabs>
          <w:tab w:val="left" w:pos="720"/>
        </w:tabs>
        <w:ind w:left="0"/>
        <w:rPr>
          <w:rFonts w:ascii="Calibri" w:hAnsi="Calibri"/>
        </w:rPr>
      </w:pPr>
      <w:r>
        <w:rPr>
          <w:rFonts w:ascii="Calibri" w:hAnsi="Calibri"/>
        </w:rPr>
        <w:t>Most importantly, f</w:t>
      </w:r>
      <w:r w:rsidR="0033264D">
        <w:rPr>
          <w:rFonts w:ascii="Calibri" w:hAnsi="Calibri"/>
        </w:rPr>
        <w:t xml:space="preserve">aculty must be involved in determining the types of assessments </w:t>
      </w:r>
      <w:r w:rsidR="00147661">
        <w:rPr>
          <w:rFonts w:ascii="Calibri" w:hAnsi="Calibri"/>
        </w:rPr>
        <w:t xml:space="preserve">utilized for PLA </w:t>
      </w:r>
      <w:r w:rsidR="0033264D">
        <w:rPr>
          <w:rFonts w:ascii="Calibri" w:hAnsi="Calibri"/>
        </w:rPr>
        <w:t xml:space="preserve">and </w:t>
      </w:r>
      <w:r w:rsidR="00147661">
        <w:rPr>
          <w:rFonts w:ascii="Calibri" w:hAnsi="Calibri"/>
        </w:rPr>
        <w:t xml:space="preserve">for </w:t>
      </w:r>
      <w:r>
        <w:rPr>
          <w:rFonts w:ascii="Calibri" w:hAnsi="Calibri"/>
        </w:rPr>
        <w:t>the assessment criteria.  Four</w:t>
      </w:r>
      <w:r w:rsidR="0033264D">
        <w:rPr>
          <w:rFonts w:ascii="Calibri" w:hAnsi="Calibri"/>
        </w:rPr>
        <w:t xml:space="preserve"> standards are</w:t>
      </w:r>
      <w:r w:rsidR="0033264D" w:rsidRPr="0033264D">
        <w:rPr>
          <w:rFonts w:ascii="Calibri" w:hAnsi="Calibri"/>
        </w:rPr>
        <w:t xml:space="preserve"> </w:t>
      </w:r>
      <w:r w:rsidR="0033264D">
        <w:rPr>
          <w:rFonts w:ascii="Calibri" w:hAnsi="Calibri"/>
        </w:rPr>
        <w:t>fundamental:</w:t>
      </w:r>
    </w:p>
    <w:p w:rsidR="0033264D" w:rsidRPr="0033264D" w:rsidRDefault="0033264D" w:rsidP="0033264D">
      <w:pPr>
        <w:pStyle w:val="ListParagraph"/>
        <w:numPr>
          <w:ilvl w:val="0"/>
          <w:numId w:val="7"/>
        </w:numPr>
        <w:tabs>
          <w:tab w:val="left" w:pos="720"/>
        </w:tabs>
        <w:rPr>
          <w:rFonts w:ascii="Calibri" w:hAnsi="Calibri"/>
        </w:rPr>
      </w:pPr>
      <w:r w:rsidRPr="0033264D">
        <w:rPr>
          <w:rFonts w:ascii="Calibri" w:hAnsi="Calibri"/>
        </w:rPr>
        <w:t>Assessment must be directly related to the publicly identified course learning outcomes.</w:t>
      </w:r>
    </w:p>
    <w:p w:rsidR="00EA7E50" w:rsidRPr="0033264D" w:rsidRDefault="00EA7E50" w:rsidP="0033264D">
      <w:pPr>
        <w:pStyle w:val="ListParagraph"/>
        <w:numPr>
          <w:ilvl w:val="0"/>
          <w:numId w:val="7"/>
        </w:numPr>
        <w:tabs>
          <w:tab w:val="left" w:pos="720"/>
        </w:tabs>
        <w:rPr>
          <w:rFonts w:ascii="Calibri" w:hAnsi="Calibri"/>
        </w:rPr>
      </w:pPr>
      <w:r w:rsidRPr="0033264D">
        <w:rPr>
          <w:rFonts w:ascii="Calibri" w:hAnsi="Calibri"/>
        </w:rPr>
        <w:t xml:space="preserve">All work assessed for PLA must meet a minimum </w:t>
      </w:r>
      <w:proofErr w:type="gramStart"/>
      <w:r w:rsidR="00C50BF8" w:rsidRPr="0033264D">
        <w:rPr>
          <w:rFonts w:ascii="Calibri" w:hAnsi="Calibri"/>
        </w:rPr>
        <w:t>of</w:t>
      </w:r>
      <w:r w:rsidR="00C50BF8">
        <w:rPr>
          <w:rFonts w:ascii="Calibri" w:hAnsi="Calibri"/>
        </w:rPr>
        <w:t xml:space="preserve"> </w:t>
      </w:r>
      <w:r w:rsidR="00C50BF8" w:rsidRPr="0033264D">
        <w:rPr>
          <w:rFonts w:ascii="Calibri" w:hAnsi="Calibri"/>
        </w:rPr>
        <w:t>”</w:t>
      </w:r>
      <w:proofErr w:type="gramEnd"/>
      <w:r w:rsidRPr="0033264D">
        <w:rPr>
          <w:rFonts w:ascii="Calibri" w:hAnsi="Calibri"/>
        </w:rPr>
        <w:t>C” level proficiency for all of the course learning outcomes and/or technical competencies.  This “C” level must be determined by the faculty to maintain academic integrity and rigor.</w:t>
      </w:r>
    </w:p>
    <w:p w:rsidR="00EA7E50" w:rsidRDefault="00EA7E50" w:rsidP="0033264D">
      <w:pPr>
        <w:pStyle w:val="ListParagraph"/>
        <w:numPr>
          <w:ilvl w:val="0"/>
          <w:numId w:val="7"/>
        </w:numPr>
        <w:tabs>
          <w:tab w:val="left" w:pos="720"/>
        </w:tabs>
        <w:rPr>
          <w:rFonts w:ascii="Calibri" w:hAnsi="Calibri"/>
        </w:rPr>
      </w:pPr>
      <w:r w:rsidRPr="0033264D">
        <w:rPr>
          <w:rFonts w:ascii="Calibri" w:hAnsi="Calibri"/>
        </w:rPr>
        <w:t>Academic credit must only be awarded for those courses directly applicable to curriculum requirements in the student’s declared certificate or degree program as outlined in college publications (including website).</w:t>
      </w:r>
    </w:p>
    <w:p w:rsidR="00102171" w:rsidRPr="00102171" w:rsidRDefault="00102171" w:rsidP="00102171">
      <w:pPr>
        <w:pStyle w:val="ListParagraph"/>
        <w:numPr>
          <w:ilvl w:val="0"/>
          <w:numId w:val="7"/>
        </w:numPr>
        <w:rPr>
          <w:rFonts w:ascii="Calibri" w:hAnsi="Calibri"/>
        </w:rPr>
      </w:pPr>
      <w:r w:rsidRPr="00102171">
        <w:rPr>
          <w:rFonts w:ascii="Calibri" w:hAnsi="Calibri"/>
        </w:rPr>
        <w:lastRenderedPageBreak/>
        <w:t xml:space="preserve">PLA credits must not be treated differently in their application and use than their course equivalencies.  PLA credits satisfy prerequisite requirements in the same manner that their course equivalencies do at the institution. </w:t>
      </w:r>
    </w:p>
    <w:p w:rsidR="00102171" w:rsidRPr="00102171" w:rsidRDefault="00102171" w:rsidP="00102171">
      <w:pPr>
        <w:tabs>
          <w:tab w:val="left" w:pos="720"/>
        </w:tabs>
        <w:rPr>
          <w:rFonts w:ascii="Calibri" w:hAnsi="Calibri"/>
        </w:rPr>
      </w:pPr>
    </w:p>
    <w:p w:rsidR="00147661" w:rsidRDefault="00147661" w:rsidP="00147661">
      <w:pPr>
        <w:tabs>
          <w:tab w:val="left" w:pos="720"/>
        </w:tabs>
        <w:rPr>
          <w:rFonts w:ascii="Calibri" w:hAnsi="Calibri"/>
        </w:rPr>
      </w:pPr>
      <w:r>
        <w:rPr>
          <w:rFonts w:ascii="Calibri" w:hAnsi="Calibri"/>
        </w:rPr>
        <w:t>The college’s Chief Academic Officer (CAO) also plays a critical role in ensuring academic integrity.  As the college administrator with responsibility for the faculty and the college curriculum the COA must:</w:t>
      </w:r>
    </w:p>
    <w:p w:rsidR="00147661" w:rsidRPr="00147661" w:rsidRDefault="00147661" w:rsidP="00147661">
      <w:pPr>
        <w:pStyle w:val="ListParagraph"/>
        <w:numPr>
          <w:ilvl w:val="0"/>
          <w:numId w:val="8"/>
        </w:numPr>
        <w:tabs>
          <w:tab w:val="left" w:pos="720"/>
        </w:tabs>
        <w:rPr>
          <w:rFonts w:ascii="Calibri" w:hAnsi="Calibri"/>
        </w:rPr>
      </w:pPr>
      <w:r w:rsidRPr="00147661">
        <w:rPr>
          <w:rFonts w:ascii="Calibri" w:hAnsi="Calibri"/>
        </w:rPr>
        <w:t>Confirm that PLA assessments are directly related to the course’s identified and publicized learning outcomes</w:t>
      </w:r>
    </w:p>
    <w:p w:rsidR="00147661" w:rsidRPr="00147661" w:rsidRDefault="00147661" w:rsidP="00147661">
      <w:pPr>
        <w:pStyle w:val="ListParagraph"/>
        <w:numPr>
          <w:ilvl w:val="0"/>
          <w:numId w:val="8"/>
        </w:numPr>
        <w:tabs>
          <w:tab w:val="left" w:pos="720"/>
        </w:tabs>
        <w:rPr>
          <w:rFonts w:ascii="Calibri" w:hAnsi="Calibri"/>
        </w:rPr>
      </w:pPr>
      <w:r w:rsidRPr="00147661">
        <w:rPr>
          <w:rFonts w:ascii="Calibri" w:hAnsi="Calibri"/>
        </w:rPr>
        <w:t>Ensure that the college policy and practices are followed.</w:t>
      </w:r>
    </w:p>
    <w:p w:rsidR="00147661" w:rsidRPr="00147661" w:rsidRDefault="00147661" w:rsidP="00147661">
      <w:pPr>
        <w:pStyle w:val="ListParagraph"/>
        <w:numPr>
          <w:ilvl w:val="0"/>
          <w:numId w:val="8"/>
        </w:numPr>
        <w:tabs>
          <w:tab w:val="left" w:pos="720"/>
        </w:tabs>
        <w:rPr>
          <w:rFonts w:ascii="Calibri" w:hAnsi="Calibri"/>
        </w:rPr>
      </w:pPr>
      <w:r w:rsidRPr="00147661">
        <w:rPr>
          <w:rFonts w:ascii="Calibri" w:hAnsi="Calibri"/>
        </w:rPr>
        <w:t>If a challenge exam is administered by someone at the college other than a faculty member, the CAO is responsible for ensuring the integrity of the process and that all policies are followed.</w:t>
      </w:r>
    </w:p>
    <w:p w:rsidR="00EA7E50" w:rsidRPr="00D31BA7" w:rsidRDefault="00EA7E50" w:rsidP="00C36415">
      <w:pPr>
        <w:pStyle w:val="ListParagraph"/>
        <w:tabs>
          <w:tab w:val="left" w:pos="720"/>
        </w:tabs>
        <w:ind w:left="0"/>
        <w:rPr>
          <w:rFonts w:ascii="Calibri" w:hAnsi="Calibri"/>
        </w:rPr>
      </w:pPr>
    </w:p>
    <w:p w:rsidR="00C36415" w:rsidRPr="00D22047" w:rsidRDefault="00C36415" w:rsidP="00C36415">
      <w:pPr>
        <w:rPr>
          <w:rFonts w:ascii="Calibri" w:hAnsi="Calibri"/>
          <w:b/>
          <w:caps/>
          <w:color w:val="2F5496" w:themeColor="accent5" w:themeShade="BF"/>
          <w:sz w:val="24"/>
        </w:rPr>
      </w:pPr>
      <w:r w:rsidRPr="00D22047">
        <w:rPr>
          <w:rFonts w:ascii="Calibri" w:hAnsi="Calibri"/>
          <w:b/>
          <w:caps/>
          <w:color w:val="2F5496" w:themeColor="accent5" w:themeShade="BF"/>
          <w:sz w:val="24"/>
        </w:rPr>
        <w:t>Ways to Award PLA Credit</w:t>
      </w:r>
    </w:p>
    <w:p w:rsidR="00C36415" w:rsidRPr="00D22047" w:rsidRDefault="00102171" w:rsidP="00C36415">
      <w:pPr>
        <w:rPr>
          <w:rFonts w:ascii="Calibri" w:hAnsi="Calibri"/>
          <w:b/>
          <w:smallCaps/>
          <w:color w:val="7030A0"/>
        </w:rPr>
      </w:pPr>
      <w:r w:rsidRPr="00D22047">
        <w:rPr>
          <w:rFonts w:ascii="Calibri" w:hAnsi="Calibri"/>
          <w:b/>
          <w:smallCaps/>
          <w:color w:val="7030A0"/>
        </w:rPr>
        <w:t>Standardized Examinations</w:t>
      </w:r>
    </w:p>
    <w:p w:rsidR="00C36415" w:rsidRPr="00D31BA7" w:rsidRDefault="00C36415" w:rsidP="00C36415">
      <w:pPr>
        <w:rPr>
          <w:rFonts w:ascii="Calibri" w:hAnsi="Calibri"/>
          <w:b/>
        </w:rPr>
      </w:pPr>
      <w:r w:rsidRPr="00D31BA7">
        <w:rPr>
          <w:rFonts w:ascii="Calibri" w:hAnsi="Calibri"/>
          <w:b/>
        </w:rPr>
        <w:t>College Level Examination Program (CLEP)</w:t>
      </w:r>
    </w:p>
    <w:p w:rsidR="00C36415" w:rsidRPr="00D31BA7" w:rsidRDefault="00C36415" w:rsidP="00C36415">
      <w:pPr>
        <w:rPr>
          <w:rFonts w:ascii="Calibri" w:hAnsi="Calibri"/>
        </w:rPr>
      </w:pPr>
      <w:r w:rsidRPr="00D31BA7">
        <w:rPr>
          <w:rFonts w:ascii="Calibri" w:hAnsi="Calibri"/>
        </w:rPr>
        <w:t xml:space="preserve">CLEP assesses proficiency in general education through 33 tests in five subject areas including mathematics, writing, communications and science.  Most CLEP examinations cover lower level and introductory knowledge in these subject areas.  The awarding of CLEP credit should be based on two criteria: standard scores recommended by the Commission on Educational Credit for the American Council of Education, and minimum test score achievement as determined by the faculty.  Cost is typically $80-90 per test.  For more information, visit: </w:t>
      </w:r>
      <w:hyperlink r:id="rId11" w:history="1">
        <w:r w:rsidRPr="00D31BA7">
          <w:rPr>
            <w:rStyle w:val="Hyperlink1"/>
            <w:rFonts w:ascii="Calibri" w:hAnsi="Calibri"/>
          </w:rPr>
          <w:t>http://clep.collegeboard.org</w:t>
        </w:r>
      </w:hyperlink>
    </w:p>
    <w:p w:rsidR="00C36415" w:rsidRPr="00D31BA7" w:rsidRDefault="00C36415" w:rsidP="00C36415">
      <w:pPr>
        <w:rPr>
          <w:rFonts w:ascii="Calibri" w:hAnsi="Calibri"/>
        </w:rPr>
      </w:pPr>
    </w:p>
    <w:p w:rsidR="00C36415" w:rsidRPr="00D31BA7" w:rsidRDefault="00C36415" w:rsidP="00C36415">
      <w:pPr>
        <w:rPr>
          <w:rFonts w:ascii="Calibri" w:hAnsi="Calibri"/>
          <w:b/>
        </w:rPr>
      </w:pPr>
      <w:r w:rsidRPr="00D31BA7">
        <w:rPr>
          <w:rFonts w:ascii="Calibri" w:hAnsi="Calibri"/>
          <w:b/>
        </w:rPr>
        <w:t>DSST</w:t>
      </w:r>
    </w:p>
    <w:p w:rsidR="00C36415" w:rsidRPr="00D31BA7" w:rsidRDefault="00C36415" w:rsidP="00C36415">
      <w:pPr>
        <w:rPr>
          <w:rFonts w:ascii="Calibri" w:hAnsi="Calibri"/>
        </w:rPr>
      </w:pPr>
      <w:r w:rsidRPr="00D31BA7">
        <w:rPr>
          <w:rFonts w:ascii="Calibri" w:hAnsi="Calibri"/>
        </w:rPr>
        <w:t xml:space="preserve">Formerly known as the DANTES program and now owned and administered by </w:t>
      </w:r>
      <w:proofErr w:type="spellStart"/>
      <w:r w:rsidRPr="00D31BA7">
        <w:rPr>
          <w:rFonts w:ascii="Calibri" w:hAnsi="Calibri"/>
        </w:rPr>
        <w:t>Prometric</w:t>
      </w:r>
      <w:proofErr w:type="spellEnd"/>
      <w:r w:rsidRPr="00D31BA7">
        <w:rPr>
          <w:rFonts w:ascii="Calibri" w:hAnsi="Calibri"/>
        </w:rPr>
        <w:t>, DSST examinations test knowledge in both lower- and upper-level colleg</w:t>
      </w:r>
      <w:r w:rsidR="00147661">
        <w:rPr>
          <w:rFonts w:ascii="Calibri" w:hAnsi="Calibri"/>
        </w:rPr>
        <w:t xml:space="preserve">e </w:t>
      </w:r>
      <w:proofErr w:type="gramStart"/>
      <w:r w:rsidR="00147661">
        <w:rPr>
          <w:rFonts w:ascii="Calibri" w:hAnsi="Calibri"/>
        </w:rPr>
        <w:t>material</w:t>
      </w:r>
      <w:proofErr w:type="gramEnd"/>
      <w:r w:rsidR="00147661">
        <w:rPr>
          <w:rFonts w:ascii="Calibri" w:hAnsi="Calibri"/>
        </w:rPr>
        <w:t xml:space="preserve"> through 38 tests in six</w:t>
      </w:r>
      <w:r w:rsidRPr="00D31BA7">
        <w:rPr>
          <w:rFonts w:ascii="Calibri" w:hAnsi="Calibri"/>
        </w:rPr>
        <w:t xml:space="preserve"> subject areas.  Originally made available to military personnel, the DSST exams are now available to the general public for a fee of $80 per test.  The awarding of DSST credit should be based on two criteria: standard scores recommended by the Commission on Educational Credit for the American Council of Education, and minimum test score achievement as determined by the faculty.  For more information, visit: </w:t>
      </w:r>
      <w:hyperlink r:id="rId12" w:history="1">
        <w:r w:rsidRPr="00D31BA7">
          <w:rPr>
            <w:rStyle w:val="Hyperlink1"/>
            <w:rFonts w:ascii="Calibri" w:hAnsi="Calibri"/>
          </w:rPr>
          <w:t>http://www.getcollegecredit.com</w:t>
        </w:r>
      </w:hyperlink>
    </w:p>
    <w:p w:rsidR="00C36415" w:rsidRPr="00D31BA7" w:rsidRDefault="00C36415" w:rsidP="00C36415">
      <w:pPr>
        <w:rPr>
          <w:rFonts w:ascii="Calibri" w:hAnsi="Calibri"/>
        </w:rPr>
      </w:pPr>
    </w:p>
    <w:p w:rsidR="00C36415" w:rsidRPr="00904477" w:rsidRDefault="00C36415" w:rsidP="00C36415">
      <w:pPr>
        <w:rPr>
          <w:rFonts w:ascii="Calibri" w:hAnsi="Calibri"/>
          <w:b/>
        </w:rPr>
      </w:pPr>
      <w:r w:rsidRPr="00904477">
        <w:rPr>
          <w:rFonts w:ascii="Calibri" w:hAnsi="Calibri"/>
          <w:b/>
        </w:rPr>
        <w:t>Advanced Placement (AP)</w:t>
      </w:r>
    </w:p>
    <w:p w:rsidR="00C36415" w:rsidRPr="00D31BA7" w:rsidRDefault="00C36415" w:rsidP="00C36415">
      <w:pPr>
        <w:rPr>
          <w:rFonts w:ascii="Calibri" w:hAnsi="Calibri"/>
        </w:rPr>
      </w:pPr>
      <w:r w:rsidRPr="00D31BA7">
        <w:rPr>
          <w:rFonts w:ascii="Calibri" w:hAnsi="Calibri"/>
        </w:rPr>
        <w:t xml:space="preserve">AP exams are a series of examinations developed by the College Board for AP High School classes in 19 subject areas.  </w:t>
      </w:r>
      <w:r w:rsidR="00147661">
        <w:rPr>
          <w:rFonts w:ascii="Calibri" w:hAnsi="Calibri"/>
        </w:rPr>
        <w:t xml:space="preserve">Faculty must be involved in determining the minimum test score achievement for awarding AP credits.  </w:t>
      </w:r>
      <w:r w:rsidRPr="00D31BA7">
        <w:rPr>
          <w:rFonts w:ascii="Calibri" w:hAnsi="Calibri"/>
        </w:rPr>
        <w:t xml:space="preserve">For more information, contact: </w:t>
      </w:r>
      <w:hyperlink r:id="rId13" w:history="1">
        <w:r w:rsidRPr="00D31BA7">
          <w:rPr>
            <w:rStyle w:val="Hyperlink1"/>
            <w:rFonts w:ascii="Calibri" w:hAnsi="Calibri"/>
          </w:rPr>
          <w:t>http://www.collegeboard.com/student/testing/ap/subjects</w:t>
        </w:r>
      </w:hyperlink>
    </w:p>
    <w:p w:rsidR="00C36415" w:rsidRDefault="00C36415" w:rsidP="00C36415">
      <w:pPr>
        <w:rPr>
          <w:rFonts w:ascii="Calibri" w:hAnsi="Calibri"/>
          <w:b/>
          <w:u w:val="single"/>
        </w:rPr>
      </w:pPr>
    </w:p>
    <w:p w:rsidR="00C36415" w:rsidRPr="00904477" w:rsidRDefault="00C36415" w:rsidP="00C36415">
      <w:pPr>
        <w:rPr>
          <w:rFonts w:ascii="Calibri" w:hAnsi="Calibri"/>
          <w:b/>
        </w:rPr>
      </w:pPr>
      <w:r w:rsidRPr="00904477">
        <w:rPr>
          <w:rFonts w:ascii="Calibri" w:hAnsi="Calibri"/>
          <w:b/>
        </w:rPr>
        <w:t>International Baccalaureate (IB)</w:t>
      </w:r>
    </w:p>
    <w:p w:rsidR="00C36415" w:rsidRPr="00D31BA7" w:rsidRDefault="00C36415" w:rsidP="00C36415">
      <w:pPr>
        <w:rPr>
          <w:rFonts w:ascii="Calibri" w:hAnsi="Calibri"/>
        </w:rPr>
      </w:pPr>
      <w:r w:rsidRPr="00D31BA7">
        <w:rPr>
          <w:rFonts w:ascii="Calibri" w:hAnsi="Calibri"/>
        </w:rPr>
        <w:t xml:space="preserve">The IB is an internationally accepted qualification for entry into institutions of higher education.  Graduates of an IB program must demonstrate competency in languages, social studies, the experimental sciences and mathematics.  For more information visit: </w:t>
      </w:r>
      <w:hyperlink r:id="rId14" w:history="1">
        <w:r w:rsidRPr="00716FF5">
          <w:rPr>
            <w:rStyle w:val="Hyperlink"/>
            <w:rFonts w:ascii="Calibri" w:hAnsi="Calibri"/>
          </w:rPr>
          <w:t>http://www.ibo.org</w:t>
        </w:r>
      </w:hyperlink>
    </w:p>
    <w:p w:rsidR="00C36415" w:rsidRPr="00D31BA7" w:rsidRDefault="00C36415" w:rsidP="00C36415">
      <w:pPr>
        <w:rPr>
          <w:rFonts w:ascii="Calibri" w:hAnsi="Calibri"/>
        </w:rPr>
      </w:pPr>
    </w:p>
    <w:p w:rsidR="00C36415" w:rsidRPr="00D31BA7" w:rsidRDefault="00C36415" w:rsidP="00C36415">
      <w:pPr>
        <w:rPr>
          <w:rFonts w:ascii="Calibri" w:hAnsi="Calibri"/>
        </w:rPr>
      </w:pPr>
      <w:r w:rsidRPr="00D31BA7">
        <w:rPr>
          <w:rFonts w:ascii="Calibri" w:hAnsi="Calibri"/>
        </w:rPr>
        <w:t>For credit awarded at the Community College of the Air Force (CCAF), transfer credit should be awarded just like transfer credit awarded at any other accredited institution.</w:t>
      </w:r>
    </w:p>
    <w:p w:rsidR="00C36415" w:rsidRDefault="00C36415" w:rsidP="00C36415">
      <w:pPr>
        <w:rPr>
          <w:rFonts w:ascii="Calibri" w:hAnsi="Calibri"/>
        </w:rPr>
      </w:pPr>
    </w:p>
    <w:p w:rsidR="00C36415" w:rsidRPr="00D22047" w:rsidRDefault="00C36415" w:rsidP="00C36415">
      <w:pPr>
        <w:rPr>
          <w:rFonts w:ascii="Calibri" w:hAnsi="Calibri"/>
          <w:b/>
          <w:smallCaps/>
          <w:color w:val="7030A0"/>
        </w:rPr>
      </w:pPr>
      <w:r w:rsidRPr="00D22047">
        <w:rPr>
          <w:rFonts w:ascii="Calibri" w:hAnsi="Calibri"/>
          <w:b/>
          <w:smallCaps/>
          <w:color w:val="7030A0"/>
        </w:rPr>
        <w:t>Challenge Examination</w:t>
      </w:r>
      <w:r w:rsidR="00D22047">
        <w:rPr>
          <w:rFonts w:ascii="Calibri" w:hAnsi="Calibri"/>
          <w:b/>
          <w:smallCaps/>
          <w:color w:val="7030A0"/>
        </w:rPr>
        <w:t>s</w:t>
      </w:r>
    </w:p>
    <w:p w:rsidR="00061E3D" w:rsidRDefault="00C36415" w:rsidP="00C36415">
      <w:pPr>
        <w:rPr>
          <w:rFonts w:ascii="Calibri" w:hAnsi="Calibri"/>
        </w:rPr>
      </w:pPr>
      <w:r w:rsidRPr="00D31BA7">
        <w:rPr>
          <w:rFonts w:ascii="Calibri" w:hAnsi="Calibri"/>
        </w:rPr>
        <w:t>Challenge examination development and assessment is the responsibility of the faculty!  This ensures academic integrity and rigor. The assessment may include both a written examination and a practical</w:t>
      </w:r>
      <w:r w:rsidR="00D07CD4">
        <w:rPr>
          <w:rFonts w:ascii="Calibri" w:hAnsi="Calibri"/>
        </w:rPr>
        <w:t xml:space="preserve"> </w:t>
      </w:r>
      <w:r w:rsidRPr="00D31BA7">
        <w:rPr>
          <w:rFonts w:ascii="Calibri" w:hAnsi="Calibri"/>
        </w:rPr>
        <w:lastRenderedPageBreak/>
        <w:t>examination of technical competency.  No matter the type of assessment tool used, the challenge examination must be aligned with the approved and published course learning outcomes.</w:t>
      </w:r>
      <w:r w:rsidR="0032734B">
        <w:rPr>
          <w:rFonts w:ascii="Calibri" w:hAnsi="Calibri"/>
        </w:rPr>
        <w:t xml:space="preserve">  Thus, faculty should develop challenge examinations in the same manner that they develop classroom assessment tools.</w:t>
      </w:r>
    </w:p>
    <w:p w:rsidR="0032734B" w:rsidRDefault="0032734B" w:rsidP="00C36415">
      <w:pPr>
        <w:rPr>
          <w:rFonts w:ascii="Calibri" w:hAnsi="Calibri"/>
        </w:rPr>
      </w:pPr>
    </w:p>
    <w:p w:rsidR="0032734B" w:rsidRPr="0032734B" w:rsidRDefault="0032734B" w:rsidP="00C36415">
      <w:pPr>
        <w:rPr>
          <w:rFonts w:ascii="Calibri" w:hAnsi="Calibri"/>
          <w:b/>
          <w:u w:val="single"/>
        </w:rPr>
      </w:pPr>
      <w:r w:rsidRPr="0032734B">
        <w:rPr>
          <w:rFonts w:ascii="Calibri" w:hAnsi="Calibri"/>
          <w:b/>
          <w:u w:val="single"/>
        </w:rPr>
        <w:t>Course Learning Outcomes</w:t>
      </w:r>
    </w:p>
    <w:p w:rsidR="0032734B" w:rsidRDefault="00C92307" w:rsidP="0032734B">
      <w:pPr>
        <w:rPr>
          <w:rFonts w:ascii="Calibri" w:hAnsi="Calibri"/>
          <w:szCs w:val="22"/>
        </w:rPr>
      </w:pPr>
      <w:r w:rsidRPr="00C92307">
        <w:rPr>
          <w:rFonts w:ascii="Calibri" w:hAnsi="Calibri" w:cs="Arial"/>
          <w:color w:val="333333"/>
          <w:szCs w:val="22"/>
          <w:shd w:val="clear" w:color="auto" w:fill="FFFFFF"/>
        </w:rPr>
        <w:t>Learning outcomes are statements that specify what learners will know or be able to do as a result of a learning activity.  Outcomes are usually expressed as knowledge, skills, or abilities</w:t>
      </w:r>
      <w:r w:rsidR="0032734B">
        <w:rPr>
          <w:rFonts w:ascii="Calibri" w:hAnsi="Calibri" w:cs="Arial"/>
          <w:color w:val="333333"/>
          <w:szCs w:val="22"/>
          <w:shd w:val="clear" w:color="auto" w:fill="FFFFFF"/>
        </w:rPr>
        <w:t xml:space="preserve"> and</w:t>
      </w:r>
      <w:r w:rsidRPr="00C92307">
        <w:rPr>
          <w:rFonts w:ascii="Calibri" w:hAnsi="Calibri" w:cs="Arial"/>
          <w:color w:val="333333"/>
          <w:szCs w:val="22"/>
          <w:shd w:val="clear" w:color="auto" w:fill="FFFFFF"/>
        </w:rPr>
        <w:t xml:space="preserve"> are comprised of three types of learning: cognitive, affective and kinesthetic.</w:t>
      </w:r>
    </w:p>
    <w:p w:rsidR="00904477" w:rsidRDefault="00904477" w:rsidP="0032734B">
      <w:pPr>
        <w:rPr>
          <w:rFonts w:ascii="Calibri" w:hAnsi="Calibri"/>
        </w:rPr>
      </w:pPr>
    </w:p>
    <w:p w:rsidR="0032734B" w:rsidRDefault="0032734B" w:rsidP="0032734B">
      <w:pPr>
        <w:rPr>
          <w:rFonts w:ascii="Calibri" w:hAnsi="Calibri"/>
        </w:rPr>
      </w:pPr>
      <w:r>
        <w:rPr>
          <w:rFonts w:ascii="Calibri" w:hAnsi="Calibri"/>
        </w:rPr>
        <w:t xml:space="preserve">Course learning outcomes should be written in a manner that allows the faculty member to evaluate the student’s learning behavior.  </w:t>
      </w:r>
      <w:r w:rsidR="007260FC">
        <w:rPr>
          <w:rFonts w:ascii="Calibri" w:hAnsi="Calibri"/>
        </w:rPr>
        <w:t>Learning outcomes are not about what the instructor provides but rather what the student can demonstrate. For example:</w:t>
      </w:r>
    </w:p>
    <w:p w:rsidR="0032734B" w:rsidRPr="0032734B" w:rsidRDefault="0032734B" w:rsidP="0032734B">
      <w:pPr>
        <w:rPr>
          <w:rFonts w:ascii="Calibri" w:hAnsi="Calibri"/>
          <w:i/>
        </w:rPr>
      </w:pPr>
      <w:r>
        <w:rPr>
          <w:rFonts w:ascii="Calibri" w:hAnsi="Calibri"/>
        </w:rPr>
        <w:tab/>
      </w:r>
      <w:r w:rsidRPr="0032734B">
        <w:rPr>
          <w:rFonts w:ascii="Calibri" w:hAnsi="Calibri"/>
          <w:i/>
        </w:rPr>
        <w:t>Students will be able to…..</w:t>
      </w:r>
    </w:p>
    <w:p w:rsidR="0032734B" w:rsidRDefault="0032734B" w:rsidP="0032734B">
      <w:pPr>
        <w:rPr>
          <w:rFonts w:ascii="Calibri" w:hAnsi="Calibri"/>
        </w:rPr>
      </w:pPr>
    </w:p>
    <w:p w:rsidR="0032734B" w:rsidRDefault="00904477" w:rsidP="0032734B">
      <w:pPr>
        <w:rPr>
          <w:rFonts w:ascii="Calibri" w:hAnsi="Calibri"/>
          <w:szCs w:val="22"/>
        </w:rPr>
      </w:pPr>
      <w:r>
        <w:rPr>
          <w:rFonts w:ascii="Calibri" w:hAnsi="Calibri"/>
          <w:szCs w:val="22"/>
        </w:rPr>
        <w:t>To determine the</w:t>
      </w:r>
      <w:r w:rsidR="0032734B">
        <w:rPr>
          <w:rFonts w:ascii="Calibri" w:hAnsi="Calibri"/>
          <w:szCs w:val="22"/>
        </w:rPr>
        <w:t xml:space="preserve"> criteria for success or desired performance, the learning outcome </w:t>
      </w:r>
      <w:r w:rsidR="007260FC">
        <w:rPr>
          <w:rFonts w:ascii="Calibri" w:hAnsi="Calibri"/>
          <w:szCs w:val="22"/>
        </w:rPr>
        <w:t>should use simple, specific action verbs to describe what students are expected to demonstrate.</w:t>
      </w:r>
    </w:p>
    <w:p w:rsidR="0032734B" w:rsidRPr="00904477" w:rsidRDefault="0032734B" w:rsidP="0032734B">
      <w:pPr>
        <w:rPr>
          <w:rFonts w:ascii="Calibri" w:hAnsi="Calibri"/>
          <w:i/>
          <w:szCs w:val="22"/>
        </w:rPr>
      </w:pPr>
      <w:r w:rsidRPr="00904477">
        <w:rPr>
          <w:rFonts w:ascii="Calibri" w:hAnsi="Calibri"/>
          <w:i/>
          <w:szCs w:val="22"/>
        </w:rPr>
        <w:tab/>
        <w:t>Students will be able to ____ as exhibited by _____</w:t>
      </w:r>
    </w:p>
    <w:p w:rsidR="0032734B" w:rsidRDefault="0032734B" w:rsidP="0032734B">
      <w:pPr>
        <w:rPr>
          <w:rFonts w:ascii="Calibri" w:hAnsi="Calibri"/>
          <w:szCs w:val="22"/>
        </w:rPr>
      </w:pPr>
    </w:p>
    <w:p w:rsidR="0032734B" w:rsidRDefault="0032734B" w:rsidP="0032734B">
      <w:pPr>
        <w:rPr>
          <w:rFonts w:ascii="Calibri" w:hAnsi="Calibri"/>
          <w:szCs w:val="22"/>
        </w:rPr>
      </w:pPr>
      <w:r>
        <w:rPr>
          <w:rFonts w:ascii="Calibri" w:hAnsi="Calibri"/>
          <w:szCs w:val="22"/>
        </w:rPr>
        <w:t>When learning outcomes for a course are developed in this manner, faculty can develop:</w:t>
      </w:r>
    </w:p>
    <w:p w:rsidR="0032734B" w:rsidRPr="00904477" w:rsidRDefault="0032734B" w:rsidP="00904477">
      <w:pPr>
        <w:pStyle w:val="ListParagraph"/>
        <w:numPr>
          <w:ilvl w:val="0"/>
          <w:numId w:val="10"/>
        </w:numPr>
        <w:rPr>
          <w:rFonts w:ascii="Calibri" w:hAnsi="Calibri"/>
          <w:szCs w:val="22"/>
        </w:rPr>
      </w:pPr>
      <w:r w:rsidRPr="00904477">
        <w:rPr>
          <w:rFonts w:ascii="Calibri" w:hAnsi="Calibri"/>
          <w:szCs w:val="22"/>
        </w:rPr>
        <w:t>Tools and techniques to determine the extent to which the student learning outcomes are achieved</w:t>
      </w:r>
      <w:r w:rsidR="00904477">
        <w:rPr>
          <w:rFonts w:ascii="Calibri" w:hAnsi="Calibri"/>
          <w:szCs w:val="22"/>
        </w:rPr>
        <w:t>.</w:t>
      </w:r>
    </w:p>
    <w:p w:rsidR="0032734B" w:rsidRPr="00904477" w:rsidRDefault="0032734B" w:rsidP="00904477">
      <w:pPr>
        <w:pStyle w:val="ListParagraph"/>
        <w:numPr>
          <w:ilvl w:val="0"/>
          <w:numId w:val="10"/>
        </w:numPr>
        <w:rPr>
          <w:rFonts w:ascii="Calibri" w:hAnsi="Calibri"/>
          <w:szCs w:val="22"/>
        </w:rPr>
      </w:pPr>
      <w:r w:rsidRPr="00904477">
        <w:rPr>
          <w:rFonts w:ascii="Calibri" w:hAnsi="Calibri"/>
          <w:szCs w:val="22"/>
        </w:rPr>
        <w:t>Direct measures of learning: exams, portfolios, and/or performance of a skill</w:t>
      </w:r>
      <w:r w:rsidR="007260FC">
        <w:rPr>
          <w:rFonts w:ascii="Calibri" w:hAnsi="Calibri"/>
          <w:szCs w:val="22"/>
        </w:rPr>
        <w:t>.</w:t>
      </w:r>
    </w:p>
    <w:p w:rsidR="0032734B" w:rsidRPr="00904477" w:rsidRDefault="00904477" w:rsidP="00904477">
      <w:pPr>
        <w:pStyle w:val="ListParagraph"/>
        <w:numPr>
          <w:ilvl w:val="0"/>
          <w:numId w:val="10"/>
        </w:numPr>
        <w:rPr>
          <w:rFonts w:ascii="Calibri" w:hAnsi="Calibri"/>
          <w:szCs w:val="22"/>
        </w:rPr>
      </w:pPr>
      <w:r w:rsidRPr="00904477">
        <w:rPr>
          <w:rFonts w:ascii="Calibri" w:hAnsi="Calibri"/>
          <w:szCs w:val="22"/>
        </w:rPr>
        <w:t>A scoring r</w:t>
      </w:r>
      <w:r w:rsidR="0032734B" w:rsidRPr="00904477">
        <w:rPr>
          <w:rFonts w:ascii="Calibri" w:hAnsi="Calibri"/>
          <w:szCs w:val="22"/>
        </w:rPr>
        <w:t>ubric that identifies critical components of the work and discriminates differing levels of proficiency</w:t>
      </w:r>
      <w:r w:rsidRPr="00904477">
        <w:rPr>
          <w:rFonts w:ascii="Calibri" w:hAnsi="Calibri"/>
          <w:szCs w:val="22"/>
        </w:rPr>
        <w:t>.</w:t>
      </w:r>
    </w:p>
    <w:p w:rsidR="0032734B" w:rsidRPr="0032734B" w:rsidRDefault="0032734B" w:rsidP="0032734B">
      <w:pPr>
        <w:rPr>
          <w:rFonts w:ascii="Calibri" w:hAnsi="Calibri"/>
          <w:szCs w:val="22"/>
        </w:rPr>
      </w:pPr>
    </w:p>
    <w:p w:rsidR="0032734B" w:rsidRDefault="0032734B" w:rsidP="0032734B">
      <w:pPr>
        <w:rPr>
          <w:rFonts w:ascii="Calibri" w:hAnsi="Calibri"/>
        </w:rPr>
      </w:pPr>
      <w:r w:rsidRPr="00C92307">
        <w:rPr>
          <w:rFonts w:ascii="Calibri" w:hAnsi="Calibri"/>
        </w:rPr>
        <w:t xml:space="preserve">Assessment </w:t>
      </w:r>
      <w:r>
        <w:rPr>
          <w:rFonts w:ascii="Calibri" w:hAnsi="Calibri"/>
        </w:rPr>
        <w:t xml:space="preserve">of these learning outcomes </w:t>
      </w:r>
      <w:r w:rsidR="007260FC">
        <w:rPr>
          <w:rFonts w:ascii="Calibri" w:hAnsi="Calibri"/>
        </w:rPr>
        <w:t>becomes</w:t>
      </w:r>
      <w:r w:rsidRPr="00C92307">
        <w:rPr>
          <w:rFonts w:ascii="Calibri" w:hAnsi="Calibri"/>
        </w:rPr>
        <w:t xml:space="preserve"> the process of gathering and discussing information from multiple and diverse sources in order to develop a deep understanding of what students know, understand, and can do w</w:t>
      </w:r>
      <w:r w:rsidR="00904477">
        <w:rPr>
          <w:rFonts w:ascii="Calibri" w:hAnsi="Calibri"/>
        </w:rPr>
        <w:t>ith their knowledge</w:t>
      </w:r>
      <w:r>
        <w:rPr>
          <w:rFonts w:ascii="Calibri" w:hAnsi="Calibri"/>
        </w:rPr>
        <w:t>.</w:t>
      </w:r>
      <w:r w:rsidR="00904477">
        <w:rPr>
          <w:rFonts w:ascii="Calibri" w:hAnsi="Calibri"/>
        </w:rPr>
        <w:t xml:space="preserve">  </w:t>
      </w:r>
      <w:r w:rsidR="00904477" w:rsidRPr="00904477">
        <w:rPr>
          <w:rFonts w:ascii="Calibri" w:hAnsi="Calibri"/>
        </w:rPr>
        <w:t>Summative assessment techniques evaluate student learning as well as how they’ve mastered certain target skills.</w:t>
      </w:r>
      <w:r w:rsidR="00904477">
        <w:rPr>
          <w:rFonts w:ascii="Calibri" w:hAnsi="Calibri"/>
        </w:rPr>
        <w:t xml:space="preserve">  </w:t>
      </w:r>
      <w:r w:rsidR="007260FC">
        <w:rPr>
          <w:rFonts w:ascii="Calibri" w:hAnsi="Calibri"/>
        </w:rPr>
        <w:t>Consequently</w:t>
      </w:r>
      <w:r w:rsidR="00904477">
        <w:rPr>
          <w:rFonts w:ascii="Calibri" w:hAnsi="Calibri"/>
        </w:rPr>
        <w:t>, challenge examinations should be developed utilizing the same assessments of learning as utilized in the classroom.</w:t>
      </w:r>
    </w:p>
    <w:p w:rsidR="00904477" w:rsidRDefault="00904477" w:rsidP="0032734B">
      <w:pPr>
        <w:rPr>
          <w:rFonts w:ascii="Calibri" w:hAnsi="Calibri"/>
        </w:rPr>
      </w:pPr>
    </w:p>
    <w:p w:rsidR="0032734B" w:rsidRPr="00904477" w:rsidRDefault="00904477" w:rsidP="00C36415">
      <w:pPr>
        <w:rPr>
          <w:rFonts w:ascii="Calibri" w:hAnsi="Calibri"/>
          <w:b/>
          <w:u w:val="single"/>
        </w:rPr>
      </w:pPr>
      <w:r w:rsidRPr="00904477">
        <w:rPr>
          <w:rFonts w:ascii="Calibri" w:hAnsi="Calibri"/>
          <w:b/>
          <w:u w:val="single"/>
        </w:rPr>
        <w:t>Challenge Examinations and Bloom’s Taxonom</w:t>
      </w:r>
      <w:r>
        <w:rPr>
          <w:rFonts w:ascii="Calibri" w:hAnsi="Calibri"/>
          <w:b/>
          <w:u w:val="single"/>
        </w:rPr>
        <w:t>y</w:t>
      </w:r>
    </w:p>
    <w:p w:rsidR="00C92307" w:rsidRDefault="007260FC" w:rsidP="00C36415">
      <w:pPr>
        <w:rPr>
          <w:rFonts w:ascii="Calibri" w:hAnsi="Calibri"/>
        </w:rPr>
      </w:pPr>
      <w:r w:rsidRPr="007260FC">
        <w:rPr>
          <w:rFonts w:ascii="Calibri" w:hAnsi="Calibri"/>
        </w:rPr>
        <w:t>A helpful and frequently used resource when writing student learning outcomes is Bloom's Taxonomy of Cognitive Skills.</w:t>
      </w:r>
      <w:r>
        <w:rPr>
          <w:rFonts w:ascii="Calibri" w:hAnsi="Calibri"/>
        </w:rPr>
        <w:t xml:space="preserve">  Bloom’s Taxonomy measures learning through:</w:t>
      </w:r>
    </w:p>
    <w:p w:rsidR="007260FC" w:rsidRPr="00937EF3" w:rsidRDefault="007260FC" w:rsidP="00937EF3">
      <w:pPr>
        <w:pStyle w:val="ListParagraph"/>
        <w:numPr>
          <w:ilvl w:val="0"/>
          <w:numId w:val="11"/>
        </w:numPr>
        <w:rPr>
          <w:rFonts w:ascii="Calibri" w:hAnsi="Calibri"/>
        </w:rPr>
      </w:pPr>
      <w:r w:rsidRPr="00937EF3">
        <w:rPr>
          <w:rFonts w:ascii="Calibri" w:hAnsi="Calibri"/>
        </w:rPr>
        <w:t>Recognizing or recalling information</w:t>
      </w:r>
    </w:p>
    <w:p w:rsidR="007260FC" w:rsidRPr="00937EF3" w:rsidRDefault="007260FC" w:rsidP="00937EF3">
      <w:pPr>
        <w:pStyle w:val="ListParagraph"/>
        <w:numPr>
          <w:ilvl w:val="0"/>
          <w:numId w:val="11"/>
        </w:numPr>
        <w:rPr>
          <w:rFonts w:ascii="Calibri" w:hAnsi="Calibri"/>
        </w:rPr>
      </w:pPr>
      <w:r w:rsidRPr="00937EF3">
        <w:rPr>
          <w:rFonts w:ascii="Calibri" w:hAnsi="Calibri"/>
        </w:rPr>
        <w:t>Attaining knowledge of major ideas or subject matter</w:t>
      </w:r>
    </w:p>
    <w:p w:rsidR="007260FC" w:rsidRPr="00937EF3" w:rsidRDefault="007260FC" w:rsidP="00937EF3">
      <w:pPr>
        <w:pStyle w:val="ListParagraph"/>
        <w:numPr>
          <w:ilvl w:val="0"/>
          <w:numId w:val="11"/>
        </w:numPr>
        <w:rPr>
          <w:rFonts w:ascii="Calibri" w:hAnsi="Calibri"/>
        </w:rPr>
      </w:pPr>
      <w:r w:rsidRPr="00937EF3">
        <w:rPr>
          <w:rFonts w:ascii="Calibri" w:hAnsi="Calibri"/>
        </w:rPr>
        <w:t>Understanding, grasping meaning and interpretation</w:t>
      </w:r>
    </w:p>
    <w:p w:rsidR="007260FC" w:rsidRPr="00937EF3" w:rsidRDefault="007260FC" w:rsidP="00937EF3">
      <w:pPr>
        <w:pStyle w:val="ListParagraph"/>
        <w:numPr>
          <w:ilvl w:val="0"/>
          <w:numId w:val="11"/>
        </w:numPr>
        <w:rPr>
          <w:rFonts w:ascii="Calibri" w:hAnsi="Calibri"/>
        </w:rPr>
      </w:pPr>
      <w:r w:rsidRPr="00937EF3">
        <w:rPr>
          <w:rFonts w:ascii="Calibri" w:hAnsi="Calibri"/>
        </w:rPr>
        <w:t>Applying information to solve problems using requires skills or knowledge</w:t>
      </w:r>
    </w:p>
    <w:p w:rsidR="007260FC" w:rsidRPr="00937EF3" w:rsidRDefault="007260FC" w:rsidP="00937EF3">
      <w:pPr>
        <w:pStyle w:val="ListParagraph"/>
        <w:numPr>
          <w:ilvl w:val="0"/>
          <w:numId w:val="11"/>
        </w:numPr>
        <w:rPr>
          <w:rFonts w:ascii="Calibri" w:hAnsi="Calibri"/>
        </w:rPr>
      </w:pPr>
      <w:r w:rsidRPr="00937EF3">
        <w:rPr>
          <w:rFonts w:ascii="Calibri" w:hAnsi="Calibri"/>
        </w:rPr>
        <w:t>Analyzing a problem and utilizing knowledge to solve such problem</w:t>
      </w:r>
    </w:p>
    <w:p w:rsidR="007260FC" w:rsidRPr="00937EF3" w:rsidRDefault="00937EF3" w:rsidP="00937EF3">
      <w:pPr>
        <w:pStyle w:val="ListParagraph"/>
        <w:numPr>
          <w:ilvl w:val="0"/>
          <w:numId w:val="11"/>
        </w:numPr>
        <w:rPr>
          <w:rFonts w:ascii="Calibri" w:hAnsi="Calibri"/>
        </w:rPr>
      </w:pPr>
      <w:r w:rsidRPr="00937EF3">
        <w:rPr>
          <w:rFonts w:ascii="Calibri" w:hAnsi="Calibri"/>
        </w:rPr>
        <w:t>Synthesizing, e</w:t>
      </w:r>
      <w:r w:rsidR="007260FC" w:rsidRPr="00937EF3">
        <w:rPr>
          <w:rFonts w:ascii="Calibri" w:hAnsi="Calibri"/>
        </w:rPr>
        <w:t>valuating or argui</w:t>
      </w:r>
      <w:r w:rsidRPr="00937EF3">
        <w:rPr>
          <w:rFonts w:ascii="Calibri" w:hAnsi="Calibri"/>
        </w:rPr>
        <w:t>ng for the validity of a problem</w:t>
      </w:r>
    </w:p>
    <w:p w:rsidR="007260FC" w:rsidRPr="00937EF3" w:rsidRDefault="00937EF3" w:rsidP="00937EF3">
      <w:pPr>
        <w:pStyle w:val="ListParagraph"/>
        <w:numPr>
          <w:ilvl w:val="0"/>
          <w:numId w:val="11"/>
        </w:numPr>
        <w:rPr>
          <w:rFonts w:ascii="Calibri" w:hAnsi="Calibri"/>
        </w:rPr>
      </w:pPr>
      <w:r w:rsidRPr="00937EF3">
        <w:rPr>
          <w:rFonts w:ascii="Calibri" w:hAnsi="Calibri"/>
        </w:rPr>
        <w:t>Creating, designing or g</w:t>
      </w:r>
      <w:r w:rsidR="007260FC" w:rsidRPr="00937EF3">
        <w:rPr>
          <w:rFonts w:ascii="Calibri" w:hAnsi="Calibri"/>
        </w:rPr>
        <w:t>enerating a product</w:t>
      </w:r>
    </w:p>
    <w:p w:rsidR="007260FC" w:rsidRDefault="007260FC" w:rsidP="00C36415">
      <w:pPr>
        <w:rPr>
          <w:rFonts w:ascii="Calibri" w:hAnsi="Calibri"/>
        </w:rPr>
      </w:pPr>
    </w:p>
    <w:p w:rsidR="00C92307" w:rsidRDefault="00937EF3" w:rsidP="00C36415">
      <w:pPr>
        <w:rPr>
          <w:rFonts w:ascii="Calibri" w:hAnsi="Calibri"/>
        </w:rPr>
      </w:pPr>
      <w:r>
        <w:rPr>
          <w:rFonts w:ascii="Calibri" w:hAnsi="Calibri"/>
        </w:rPr>
        <w:t xml:space="preserve">In developing a challenge examination for a course, faculty can utilize Bloom’s or a modified version to determine the components of the course.  For example, </w:t>
      </w:r>
      <w:r w:rsidR="00A04F32">
        <w:rPr>
          <w:rFonts w:ascii="Calibri" w:hAnsi="Calibri"/>
        </w:rPr>
        <w:t xml:space="preserve">after review of the curriculum, the </w:t>
      </w:r>
      <w:proofErr w:type="gramStart"/>
      <w:r w:rsidR="00A04F32">
        <w:rPr>
          <w:rFonts w:ascii="Calibri" w:hAnsi="Calibri"/>
        </w:rPr>
        <w:t>faculty determine</w:t>
      </w:r>
      <w:proofErr w:type="gramEnd"/>
      <w:r>
        <w:rPr>
          <w:rFonts w:ascii="Calibri" w:hAnsi="Calibri"/>
        </w:rPr>
        <w:t xml:space="preserve"> </w:t>
      </w:r>
      <w:r w:rsidR="00A04F32">
        <w:rPr>
          <w:rFonts w:ascii="Calibri" w:hAnsi="Calibri"/>
        </w:rPr>
        <w:t xml:space="preserve">that </w:t>
      </w:r>
      <w:r>
        <w:rPr>
          <w:rFonts w:ascii="Calibri" w:hAnsi="Calibri"/>
        </w:rPr>
        <w:t>the following type</w:t>
      </w:r>
      <w:r w:rsidR="00A04F32">
        <w:rPr>
          <w:rFonts w:ascii="Calibri" w:hAnsi="Calibri"/>
        </w:rPr>
        <w:t>s</w:t>
      </w:r>
      <w:r>
        <w:rPr>
          <w:rFonts w:ascii="Calibri" w:hAnsi="Calibri"/>
        </w:rPr>
        <w:t xml:space="preserve"> of learning</w:t>
      </w:r>
      <w:r w:rsidR="00A04F32">
        <w:rPr>
          <w:rFonts w:ascii="Calibri" w:hAnsi="Calibri"/>
        </w:rPr>
        <w:t xml:space="preserve"> should result from the course</w:t>
      </w:r>
      <w:r>
        <w:rPr>
          <w:rFonts w:ascii="Calibri" w:hAnsi="Calibri"/>
        </w:rPr>
        <w:t>:</w:t>
      </w:r>
    </w:p>
    <w:p w:rsidR="00D07CD4" w:rsidRDefault="00D07CD4" w:rsidP="00C36415">
      <w:pPr>
        <w:rPr>
          <w:rFonts w:ascii="Calibri" w:hAnsi="Calibri"/>
        </w:rPr>
      </w:pPr>
    </w:p>
    <w:p w:rsidR="00937EF3" w:rsidRDefault="00937EF3" w:rsidP="00C36415">
      <w:pPr>
        <w:rPr>
          <w:rFonts w:ascii="Calibri" w:hAnsi="Calibri"/>
        </w:rPr>
      </w:pPr>
      <w:r>
        <w:rPr>
          <w:rFonts w:ascii="Calibri" w:hAnsi="Calibri"/>
        </w:rPr>
        <w:lastRenderedPageBreak/>
        <w:tab/>
        <w:t>Knowledge or major ideas or subject matter</w:t>
      </w:r>
      <w:r>
        <w:rPr>
          <w:rFonts w:ascii="Calibri" w:hAnsi="Calibri"/>
        </w:rPr>
        <w:tab/>
      </w:r>
      <w:r>
        <w:rPr>
          <w:rFonts w:ascii="Calibri" w:hAnsi="Calibri"/>
        </w:rPr>
        <w:tab/>
        <w:t>20%</w:t>
      </w:r>
    </w:p>
    <w:p w:rsidR="00937EF3" w:rsidRDefault="00937EF3" w:rsidP="00C36415">
      <w:pPr>
        <w:rPr>
          <w:rFonts w:ascii="Calibri" w:hAnsi="Calibri"/>
        </w:rPr>
      </w:pPr>
      <w:r>
        <w:rPr>
          <w:rFonts w:ascii="Calibri" w:hAnsi="Calibri"/>
        </w:rPr>
        <w:tab/>
        <w:t>Understanding, grasping meaning and interpretation</w:t>
      </w:r>
      <w:r>
        <w:rPr>
          <w:rFonts w:ascii="Calibri" w:hAnsi="Calibri"/>
        </w:rPr>
        <w:tab/>
        <w:t>5%</w:t>
      </w:r>
    </w:p>
    <w:p w:rsidR="00937EF3" w:rsidRDefault="00937EF3" w:rsidP="00C36415">
      <w:pPr>
        <w:rPr>
          <w:rFonts w:ascii="Calibri" w:hAnsi="Calibri"/>
        </w:rPr>
      </w:pPr>
      <w:r>
        <w:rPr>
          <w:rFonts w:ascii="Calibri" w:hAnsi="Calibri"/>
        </w:rPr>
        <w:tab/>
        <w:t>Using information to solve problems</w:t>
      </w:r>
      <w:r>
        <w:rPr>
          <w:rFonts w:ascii="Calibri" w:hAnsi="Calibri"/>
        </w:rPr>
        <w:tab/>
      </w:r>
      <w:r>
        <w:rPr>
          <w:rFonts w:ascii="Calibri" w:hAnsi="Calibri"/>
        </w:rPr>
        <w:tab/>
      </w:r>
      <w:r>
        <w:rPr>
          <w:rFonts w:ascii="Calibri" w:hAnsi="Calibri"/>
        </w:rPr>
        <w:tab/>
        <w:t>25%</w:t>
      </w:r>
    </w:p>
    <w:p w:rsidR="00937EF3" w:rsidRDefault="00937EF3" w:rsidP="00C36415">
      <w:pPr>
        <w:rPr>
          <w:rFonts w:ascii="Calibri" w:hAnsi="Calibri"/>
        </w:rPr>
      </w:pPr>
      <w:r>
        <w:rPr>
          <w:rFonts w:ascii="Calibri" w:hAnsi="Calibri"/>
        </w:rPr>
        <w:tab/>
        <w:t>Creating a product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50%</w:t>
      </w:r>
    </w:p>
    <w:p w:rsidR="00937EF3" w:rsidRDefault="00937EF3" w:rsidP="00C36415">
      <w:pPr>
        <w:rPr>
          <w:rFonts w:ascii="Calibri" w:hAnsi="Calibri"/>
        </w:rPr>
      </w:pPr>
    </w:p>
    <w:p w:rsidR="00937EF3" w:rsidRDefault="00937EF3" w:rsidP="00C36415">
      <w:pPr>
        <w:rPr>
          <w:rFonts w:ascii="Calibri" w:hAnsi="Calibri"/>
        </w:rPr>
      </w:pPr>
      <w:r>
        <w:rPr>
          <w:rFonts w:ascii="Calibri" w:hAnsi="Calibri"/>
        </w:rPr>
        <w:t xml:space="preserve">As is typical for most career-technical courses, part of the learning is cognitive or affective (in this case, 50%) and the other part of the course is kinesthetic.  Thus, the </w:t>
      </w:r>
      <w:proofErr w:type="gramStart"/>
      <w:r>
        <w:rPr>
          <w:rFonts w:ascii="Calibri" w:hAnsi="Calibri"/>
        </w:rPr>
        <w:t>faculty will</w:t>
      </w:r>
      <w:proofErr w:type="gramEnd"/>
      <w:r>
        <w:rPr>
          <w:rFonts w:ascii="Calibri" w:hAnsi="Calibri"/>
        </w:rPr>
        <w:t xml:space="preserve"> development the challenge examination in two parts:</w:t>
      </w:r>
    </w:p>
    <w:p w:rsidR="00937EF3" w:rsidRPr="00937EF3" w:rsidRDefault="00937EF3" w:rsidP="00937EF3">
      <w:pPr>
        <w:pStyle w:val="ListParagraph"/>
        <w:numPr>
          <w:ilvl w:val="0"/>
          <w:numId w:val="12"/>
        </w:numPr>
        <w:rPr>
          <w:rFonts w:ascii="Calibri" w:hAnsi="Calibri"/>
        </w:rPr>
      </w:pPr>
      <w:r w:rsidRPr="00937EF3">
        <w:rPr>
          <w:rFonts w:ascii="Calibri" w:hAnsi="Calibri"/>
        </w:rPr>
        <w:t>50% is cognitive – 100 point written examination</w:t>
      </w:r>
    </w:p>
    <w:p w:rsidR="00937EF3" w:rsidRPr="00937EF3" w:rsidRDefault="00937EF3" w:rsidP="00937EF3">
      <w:pPr>
        <w:pStyle w:val="ListParagraph"/>
        <w:numPr>
          <w:ilvl w:val="0"/>
          <w:numId w:val="12"/>
        </w:numPr>
        <w:rPr>
          <w:rFonts w:ascii="Calibri" w:hAnsi="Calibri"/>
        </w:rPr>
      </w:pPr>
      <w:r w:rsidRPr="00937EF3">
        <w:rPr>
          <w:rFonts w:ascii="Calibri" w:hAnsi="Calibri"/>
        </w:rPr>
        <w:t>50% is kinesthetic – practical examination evaluated on a 100 point scale</w:t>
      </w:r>
    </w:p>
    <w:p w:rsidR="00937EF3" w:rsidRDefault="00937EF3" w:rsidP="00C36415">
      <w:pPr>
        <w:rPr>
          <w:rFonts w:ascii="Calibri" w:hAnsi="Calibri"/>
        </w:rPr>
      </w:pPr>
    </w:p>
    <w:p w:rsidR="00263A7F" w:rsidRPr="00263A7F" w:rsidRDefault="00937EF3" w:rsidP="00C36415">
      <w:pPr>
        <w:rPr>
          <w:rFonts w:ascii="Calibri" w:hAnsi="Calibri"/>
          <w:b/>
          <w:u w:val="single"/>
        </w:rPr>
      </w:pPr>
      <w:r w:rsidRPr="00263A7F">
        <w:rPr>
          <w:rFonts w:ascii="Calibri" w:hAnsi="Calibri"/>
          <w:b/>
          <w:u w:val="single"/>
        </w:rPr>
        <w:t>Cognitive Assessment</w:t>
      </w:r>
    </w:p>
    <w:p w:rsidR="005273E8" w:rsidRDefault="005273E8" w:rsidP="00C36415">
      <w:pPr>
        <w:rPr>
          <w:rFonts w:ascii="Calibri" w:hAnsi="Calibri"/>
          <w:b/>
        </w:rPr>
      </w:pPr>
    </w:p>
    <w:p w:rsidR="00937EF3" w:rsidRPr="00263A7F" w:rsidRDefault="00263A7F" w:rsidP="00C36415">
      <w:pPr>
        <w:rPr>
          <w:rFonts w:ascii="Calibri" w:hAnsi="Calibri"/>
          <w:b/>
        </w:rPr>
      </w:pPr>
      <w:r>
        <w:rPr>
          <w:rFonts w:ascii="Calibri" w:hAnsi="Calibri"/>
          <w:b/>
        </w:rPr>
        <w:t xml:space="preserve">Step 1: Determine the types of questions for the </w:t>
      </w:r>
      <w:r w:rsidR="00937EF3" w:rsidRPr="00263A7F">
        <w:rPr>
          <w:rFonts w:ascii="Calibri" w:hAnsi="Calibri"/>
          <w:b/>
        </w:rPr>
        <w:t xml:space="preserve">100 </w:t>
      </w:r>
      <w:r>
        <w:rPr>
          <w:rFonts w:ascii="Calibri" w:hAnsi="Calibri"/>
          <w:b/>
        </w:rPr>
        <w:t>point written e</w:t>
      </w:r>
      <w:r w:rsidR="00937EF3" w:rsidRPr="00263A7F">
        <w:rPr>
          <w:rFonts w:ascii="Calibri" w:hAnsi="Calibri"/>
          <w:b/>
        </w:rPr>
        <w:t>xamination</w:t>
      </w:r>
      <w:r>
        <w:rPr>
          <w:rFonts w:ascii="Calibri" w:hAnsi="Calibri"/>
          <w:b/>
        </w:rPr>
        <w:t xml:space="preserve"> based on learning outcomes and level of cognition</w:t>
      </w:r>
    </w:p>
    <w:p w:rsidR="00937EF3" w:rsidRDefault="00937EF3" w:rsidP="00C36415">
      <w:pPr>
        <w:rPr>
          <w:rFonts w:ascii="Calibri" w:hAnsi="Calibri"/>
        </w:rPr>
      </w:pPr>
    </w:p>
    <w:tbl>
      <w:tblPr>
        <w:tblStyle w:val="GridTable1Light"/>
        <w:tblW w:w="9800" w:type="dxa"/>
        <w:tblLayout w:type="fixed"/>
        <w:tblLook w:val="0420" w:firstRow="1" w:lastRow="0" w:firstColumn="0" w:lastColumn="0" w:noHBand="0" w:noVBand="1"/>
      </w:tblPr>
      <w:tblGrid>
        <w:gridCol w:w="3140"/>
        <w:gridCol w:w="1440"/>
        <w:gridCol w:w="2070"/>
        <w:gridCol w:w="3150"/>
      </w:tblGrid>
      <w:tr w:rsidR="00937EF3" w:rsidRPr="00937EF3" w:rsidTr="00263A7F">
        <w:trPr>
          <w:cnfStyle w:val="100000000000" w:firstRow="1" w:lastRow="0" w:firstColumn="0" w:lastColumn="0" w:oddVBand="0" w:evenVBand="0" w:oddHBand="0" w:evenHBand="0" w:firstRowFirstColumn="0" w:firstRowLastColumn="0" w:lastRowFirstColumn="0" w:lastRowLastColumn="0"/>
          <w:trHeight w:val="564"/>
        </w:trPr>
        <w:tc>
          <w:tcPr>
            <w:tcW w:w="3140" w:type="dxa"/>
            <w:shd w:val="clear" w:color="auto" w:fill="D0CECE" w:themeFill="background2" w:themeFillShade="E6"/>
            <w:vAlign w:val="center"/>
            <w:hideMark/>
          </w:tcPr>
          <w:p w:rsidR="00937EF3" w:rsidRPr="00937EF3" w:rsidRDefault="00937EF3" w:rsidP="00263A7F">
            <w:pPr>
              <w:jc w:val="center"/>
              <w:rPr>
                <w:rFonts w:ascii="Calibri" w:hAnsi="Calibri"/>
              </w:rPr>
            </w:pPr>
            <w:r w:rsidRPr="00937EF3">
              <w:rPr>
                <w:rFonts w:ascii="Calibri" w:hAnsi="Calibri"/>
              </w:rPr>
              <w:t>Learning Outcomes</w:t>
            </w:r>
          </w:p>
        </w:tc>
        <w:tc>
          <w:tcPr>
            <w:tcW w:w="1440" w:type="dxa"/>
            <w:shd w:val="clear" w:color="auto" w:fill="D0CECE" w:themeFill="background2" w:themeFillShade="E6"/>
            <w:vAlign w:val="center"/>
            <w:hideMark/>
          </w:tcPr>
          <w:p w:rsidR="00937EF3" w:rsidRPr="00937EF3" w:rsidRDefault="00937EF3" w:rsidP="00263A7F">
            <w:pPr>
              <w:jc w:val="center"/>
              <w:rPr>
                <w:rFonts w:ascii="Calibri" w:hAnsi="Calibri"/>
              </w:rPr>
            </w:pPr>
            <w:r w:rsidRPr="00937EF3">
              <w:rPr>
                <w:rFonts w:ascii="Calibri" w:hAnsi="Calibri"/>
              </w:rPr>
              <w:t>Level of Cognition</w:t>
            </w:r>
          </w:p>
        </w:tc>
        <w:tc>
          <w:tcPr>
            <w:tcW w:w="2070" w:type="dxa"/>
            <w:shd w:val="clear" w:color="auto" w:fill="D0CECE" w:themeFill="background2" w:themeFillShade="E6"/>
            <w:vAlign w:val="center"/>
            <w:hideMark/>
          </w:tcPr>
          <w:p w:rsidR="00937EF3" w:rsidRPr="00937EF3" w:rsidRDefault="00937EF3" w:rsidP="00263A7F">
            <w:pPr>
              <w:jc w:val="center"/>
              <w:rPr>
                <w:rFonts w:ascii="Calibri" w:hAnsi="Calibri"/>
              </w:rPr>
            </w:pPr>
            <w:r w:rsidRPr="00937EF3">
              <w:rPr>
                <w:rFonts w:ascii="Calibri" w:hAnsi="Calibri"/>
              </w:rPr>
              <w:t>Written Portion – Number of Test  Questions</w:t>
            </w:r>
          </w:p>
        </w:tc>
        <w:tc>
          <w:tcPr>
            <w:tcW w:w="3150" w:type="dxa"/>
            <w:shd w:val="clear" w:color="auto" w:fill="D0CECE" w:themeFill="background2" w:themeFillShade="E6"/>
            <w:vAlign w:val="center"/>
            <w:hideMark/>
          </w:tcPr>
          <w:p w:rsidR="00937EF3" w:rsidRPr="00937EF3" w:rsidRDefault="00937EF3" w:rsidP="00263A7F">
            <w:pPr>
              <w:jc w:val="center"/>
              <w:rPr>
                <w:rFonts w:ascii="Calibri" w:hAnsi="Calibri"/>
              </w:rPr>
            </w:pPr>
            <w:r w:rsidRPr="00937EF3">
              <w:rPr>
                <w:rFonts w:ascii="Calibri" w:hAnsi="Calibri"/>
              </w:rPr>
              <w:t>Percentage of Questions for 100 Point Exams</w:t>
            </w:r>
          </w:p>
        </w:tc>
      </w:tr>
      <w:tr w:rsidR="00937EF3" w:rsidRPr="00937EF3" w:rsidTr="00263A7F">
        <w:trPr>
          <w:trHeight w:val="576"/>
        </w:trPr>
        <w:tc>
          <w:tcPr>
            <w:tcW w:w="3140" w:type="dxa"/>
            <w:hideMark/>
          </w:tcPr>
          <w:p w:rsidR="00937EF3" w:rsidRPr="00937EF3" w:rsidRDefault="00937EF3" w:rsidP="00937EF3">
            <w:pPr>
              <w:rPr>
                <w:rFonts w:ascii="Calibri" w:hAnsi="Calibri"/>
              </w:rPr>
            </w:pPr>
            <w:r w:rsidRPr="00937EF3">
              <w:rPr>
                <w:rFonts w:ascii="Calibri" w:hAnsi="Calibri"/>
              </w:rPr>
              <w:t>Knowledge of major ideas or mastery of subject matter</w:t>
            </w:r>
          </w:p>
        </w:tc>
        <w:tc>
          <w:tcPr>
            <w:tcW w:w="1440" w:type="dxa"/>
            <w:hideMark/>
          </w:tcPr>
          <w:p w:rsidR="00937EF3" w:rsidRPr="00937EF3" w:rsidRDefault="00937EF3" w:rsidP="00263A7F">
            <w:pPr>
              <w:jc w:val="center"/>
              <w:rPr>
                <w:rFonts w:ascii="Calibri" w:hAnsi="Calibri"/>
              </w:rPr>
            </w:pPr>
            <w:r w:rsidRPr="00937EF3">
              <w:rPr>
                <w:rFonts w:ascii="Calibri" w:hAnsi="Calibri"/>
              </w:rPr>
              <w:t>20%</w:t>
            </w:r>
          </w:p>
        </w:tc>
        <w:tc>
          <w:tcPr>
            <w:tcW w:w="2070" w:type="dxa"/>
            <w:hideMark/>
          </w:tcPr>
          <w:p w:rsidR="00937EF3" w:rsidRPr="00937EF3" w:rsidRDefault="00937EF3" w:rsidP="00263A7F">
            <w:pPr>
              <w:jc w:val="center"/>
              <w:rPr>
                <w:rFonts w:ascii="Calibri" w:hAnsi="Calibri"/>
              </w:rPr>
            </w:pPr>
            <w:r w:rsidRPr="00937EF3">
              <w:rPr>
                <w:rFonts w:ascii="Calibri" w:hAnsi="Calibri"/>
              </w:rPr>
              <w:t>40</w:t>
            </w:r>
          </w:p>
        </w:tc>
        <w:tc>
          <w:tcPr>
            <w:tcW w:w="3150" w:type="dxa"/>
            <w:hideMark/>
          </w:tcPr>
          <w:p w:rsidR="00937EF3" w:rsidRPr="00937EF3" w:rsidRDefault="00937EF3" w:rsidP="00263A7F">
            <w:pPr>
              <w:jc w:val="center"/>
              <w:rPr>
                <w:rFonts w:ascii="Calibri" w:hAnsi="Calibri"/>
              </w:rPr>
            </w:pPr>
            <w:r w:rsidRPr="00937EF3">
              <w:rPr>
                <w:rFonts w:ascii="Calibri" w:hAnsi="Calibri"/>
              </w:rPr>
              <w:t>40%</w:t>
            </w:r>
          </w:p>
        </w:tc>
      </w:tr>
      <w:tr w:rsidR="00937EF3" w:rsidRPr="00937EF3" w:rsidTr="00263A7F">
        <w:trPr>
          <w:trHeight w:val="576"/>
        </w:trPr>
        <w:tc>
          <w:tcPr>
            <w:tcW w:w="3140" w:type="dxa"/>
            <w:hideMark/>
          </w:tcPr>
          <w:p w:rsidR="00937EF3" w:rsidRPr="00937EF3" w:rsidRDefault="00937EF3" w:rsidP="00937EF3">
            <w:pPr>
              <w:rPr>
                <w:rFonts w:ascii="Calibri" w:hAnsi="Calibri"/>
              </w:rPr>
            </w:pPr>
            <w:r w:rsidRPr="00937EF3">
              <w:rPr>
                <w:rFonts w:ascii="Calibri" w:hAnsi="Calibri"/>
              </w:rPr>
              <w:t>Understanding, grasping meaning, interpretation</w:t>
            </w:r>
          </w:p>
        </w:tc>
        <w:tc>
          <w:tcPr>
            <w:tcW w:w="1440" w:type="dxa"/>
            <w:hideMark/>
          </w:tcPr>
          <w:p w:rsidR="00937EF3" w:rsidRPr="00937EF3" w:rsidRDefault="00937EF3" w:rsidP="00263A7F">
            <w:pPr>
              <w:jc w:val="center"/>
              <w:rPr>
                <w:rFonts w:ascii="Calibri" w:hAnsi="Calibri"/>
              </w:rPr>
            </w:pPr>
            <w:r w:rsidRPr="00937EF3">
              <w:rPr>
                <w:rFonts w:ascii="Calibri" w:hAnsi="Calibri"/>
              </w:rPr>
              <w:t>5%</w:t>
            </w:r>
          </w:p>
        </w:tc>
        <w:tc>
          <w:tcPr>
            <w:tcW w:w="2070" w:type="dxa"/>
            <w:hideMark/>
          </w:tcPr>
          <w:p w:rsidR="00937EF3" w:rsidRPr="00937EF3" w:rsidRDefault="00937EF3" w:rsidP="00263A7F">
            <w:pPr>
              <w:jc w:val="center"/>
              <w:rPr>
                <w:rFonts w:ascii="Calibri" w:hAnsi="Calibri"/>
              </w:rPr>
            </w:pPr>
            <w:r w:rsidRPr="00937EF3">
              <w:rPr>
                <w:rFonts w:ascii="Calibri" w:hAnsi="Calibri"/>
              </w:rPr>
              <w:t>10</w:t>
            </w:r>
          </w:p>
        </w:tc>
        <w:tc>
          <w:tcPr>
            <w:tcW w:w="3150" w:type="dxa"/>
            <w:hideMark/>
          </w:tcPr>
          <w:p w:rsidR="00937EF3" w:rsidRPr="00937EF3" w:rsidRDefault="00937EF3" w:rsidP="00263A7F">
            <w:pPr>
              <w:jc w:val="center"/>
              <w:rPr>
                <w:rFonts w:ascii="Calibri" w:hAnsi="Calibri"/>
              </w:rPr>
            </w:pPr>
            <w:r w:rsidRPr="00937EF3">
              <w:rPr>
                <w:rFonts w:ascii="Calibri" w:hAnsi="Calibri"/>
              </w:rPr>
              <w:t>10%</w:t>
            </w:r>
          </w:p>
        </w:tc>
      </w:tr>
      <w:tr w:rsidR="00937EF3" w:rsidRPr="00937EF3" w:rsidTr="00263A7F">
        <w:trPr>
          <w:trHeight w:val="576"/>
        </w:trPr>
        <w:tc>
          <w:tcPr>
            <w:tcW w:w="3140" w:type="dxa"/>
            <w:hideMark/>
          </w:tcPr>
          <w:p w:rsidR="00937EF3" w:rsidRPr="00937EF3" w:rsidRDefault="00937EF3" w:rsidP="00937EF3">
            <w:pPr>
              <w:rPr>
                <w:rFonts w:ascii="Calibri" w:hAnsi="Calibri"/>
              </w:rPr>
            </w:pPr>
            <w:r w:rsidRPr="00937EF3">
              <w:rPr>
                <w:rFonts w:ascii="Calibri" w:hAnsi="Calibri"/>
              </w:rPr>
              <w:t>Use information to solve problems using required skills or knowledge</w:t>
            </w:r>
          </w:p>
        </w:tc>
        <w:tc>
          <w:tcPr>
            <w:tcW w:w="1440" w:type="dxa"/>
            <w:hideMark/>
          </w:tcPr>
          <w:p w:rsidR="00937EF3" w:rsidRPr="00937EF3" w:rsidRDefault="00937EF3" w:rsidP="00263A7F">
            <w:pPr>
              <w:jc w:val="center"/>
              <w:rPr>
                <w:rFonts w:ascii="Calibri" w:hAnsi="Calibri"/>
              </w:rPr>
            </w:pPr>
            <w:r w:rsidRPr="00937EF3">
              <w:rPr>
                <w:rFonts w:ascii="Calibri" w:hAnsi="Calibri"/>
              </w:rPr>
              <w:t>25%</w:t>
            </w:r>
          </w:p>
        </w:tc>
        <w:tc>
          <w:tcPr>
            <w:tcW w:w="2070" w:type="dxa"/>
            <w:hideMark/>
          </w:tcPr>
          <w:p w:rsidR="00937EF3" w:rsidRPr="00937EF3" w:rsidRDefault="00937EF3" w:rsidP="00263A7F">
            <w:pPr>
              <w:jc w:val="center"/>
              <w:rPr>
                <w:rFonts w:ascii="Calibri" w:hAnsi="Calibri"/>
              </w:rPr>
            </w:pPr>
            <w:r w:rsidRPr="00937EF3">
              <w:rPr>
                <w:rFonts w:ascii="Calibri" w:hAnsi="Calibri"/>
              </w:rPr>
              <w:t>50</w:t>
            </w:r>
          </w:p>
        </w:tc>
        <w:tc>
          <w:tcPr>
            <w:tcW w:w="3150" w:type="dxa"/>
            <w:hideMark/>
          </w:tcPr>
          <w:p w:rsidR="00937EF3" w:rsidRPr="00937EF3" w:rsidRDefault="00937EF3" w:rsidP="00263A7F">
            <w:pPr>
              <w:jc w:val="center"/>
              <w:rPr>
                <w:rFonts w:ascii="Calibri" w:hAnsi="Calibri"/>
              </w:rPr>
            </w:pPr>
            <w:r w:rsidRPr="00937EF3">
              <w:rPr>
                <w:rFonts w:ascii="Calibri" w:hAnsi="Calibri"/>
              </w:rPr>
              <w:t>50%</w:t>
            </w:r>
          </w:p>
        </w:tc>
      </w:tr>
    </w:tbl>
    <w:p w:rsidR="00937EF3" w:rsidRDefault="00937EF3" w:rsidP="00C36415">
      <w:pPr>
        <w:rPr>
          <w:rFonts w:ascii="Calibri" w:hAnsi="Calibri"/>
        </w:rPr>
      </w:pPr>
    </w:p>
    <w:p w:rsidR="00D07CD4" w:rsidRDefault="00D07CD4" w:rsidP="00C36415">
      <w:pPr>
        <w:rPr>
          <w:rFonts w:ascii="Calibri" w:hAnsi="Calibri"/>
        </w:rPr>
      </w:pPr>
    </w:p>
    <w:p w:rsidR="00C92307" w:rsidRPr="00263A7F" w:rsidRDefault="00263A7F" w:rsidP="00C36415">
      <w:pPr>
        <w:rPr>
          <w:rFonts w:ascii="Calibri" w:hAnsi="Calibri"/>
          <w:b/>
        </w:rPr>
      </w:pPr>
      <w:r>
        <w:rPr>
          <w:rFonts w:ascii="Calibri" w:hAnsi="Calibri"/>
          <w:b/>
        </w:rPr>
        <w:t>Step 2: Rank learning outcomes via course f</w:t>
      </w:r>
      <w:r w:rsidRPr="00263A7F">
        <w:rPr>
          <w:rFonts w:ascii="Calibri" w:hAnsi="Calibri"/>
          <w:b/>
        </w:rPr>
        <w:t>requency</w:t>
      </w:r>
    </w:p>
    <w:p w:rsidR="00263A7F" w:rsidRDefault="00263A7F" w:rsidP="00C36415">
      <w:pPr>
        <w:rPr>
          <w:rFonts w:ascii="Calibri" w:hAnsi="Calibri"/>
        </w:rPr>
      </w:pPr>
    </w:p>
    <w:p w:rsidR="005273E8" w:rsidRDefault="005273E8" w:rsidP="00C36415">
      <w:pPr>
        <w:rPr>
          <w:rFonts w:ascii="Calibri" w:hAnsi="Calibri"/>
        </w:rPr>
      </w:pPr>
    </w:p>
    <w:tbl>
      <w:tblPr>
        <w:tblStyle w:val="GridTable1Light"/>
        <w:tblW w:w="9841" w:type="dxa"/>
        <w:tblLook w:val="0420" w:firstRow="1" w:lastRow="0" w:firstColumn="0" w:lastColumn="0" w:noHBand="0" w:noVBand="1"/>
      </w:tblPr>
      <w:tblGrid>
        <w:gridCol w:w="3145"/>
        <w:gridCol w:w="3240"/>
        <w:gridCol w:w="3456"/>
      </w:tblGrid>
      <w:tr w:rsidR="00263A7F" w:rsidRPr="00263A7F" w:rsidTr="00263A7F">
        <w:trPr>
          <w:cnfStyle w:val="100000000000" w:firstRow="1" w:lastRow="0" w:firstColumn="0" w:lastColumn="0" w:oddVBand="0" w:evenVBand="0" w:oddHBand="0" w:evenHBand="0" w:firstRowFirstColumn="0" w:firstRowLastColumn="0" w:lastRowFirstColumn="0" w:lastRowLastColumn="0"/>
          <w:trHeight w:val="432"/>
        </w:trPr>
        <w:tc>
          <w:tcPr>
            <w:tcW w:w="3145" w:type="dxa"/>
            <w:shd w:val="clear" w:color="auto" w:fill="D0CECE" w:themeFill="background2" w:themeFillShade="E6"/>
            <w:hideMark/>
          </w:tcPr>
          <w:p w:rsidR="00263A7F" w:rsidRPr="00263A7F" w:rsidRDefault="00263A7F" w:rsidP="00263A7F">
            <w:pPr>
              <w:jc w:val="center"/>
              <w:rPr>
                <w:rFonts w:ascii="Calibri" w:hAnsi="Calibri"/>
              </w:rPr>
            </w:pPr>
            <w:r w:rsidRPr="00263A7F">
              <w:rPr>
                <w:rFonts w:ascii="Calibri" w:hAnsi="Calibri"/>
              </w:rPr>
              <w:t>Outcomes</w:t>
            </w:r>
          </w:p>
        </w:tc>
        <w:tc>
          <w:tcPr>
            <w:tcW w:w="3240" w:type="dxa"/>
            <w:shd w:val="clear" w:color="auto" w:fill="D0CECE" w:themeFill="background2" w:themeFillShade="E6"/>
            <w:hideMark/>
          </w:tcPr>
          <w:p w:rsidR="00263A7F" w:rsidRPr="00263A7F" w:rsidRDefault="00263A7F" w:rsidP="00263A7F">
            <w:pPr>
              <w:jc w:val="center"/>
              <w:rPr>
                <w:rFonts w:ascii="Calibri" w:hAnsi="Calibri"/>
              </w:rPr>
            </w:pPr>
            <w:r w:rsidRPr="00263A7F">
              <w:rPr>
                <w:rFonts w:ascii="Calibri" w:hAnsi="Calibri"/>
              </w:rPr>
              <w:t>Percentage of Quantity in Course</w:t>
            </w:r>
          </w:p>
        </w:tc>
        <w:tc>
          <w:tcPr>
            <w:tcW w:w="3456" w:type="dxa"/>
            <w:shd w:val="clear" w:color="auto" w:fill="D0CECE" w:themeFill="background2" w:themeFillShade="E6"/>
            <w:hideMark/>
          </w:tcPr>
          <w:p w:rsidR="00263A7F" w:rsidRPr="00263A7F" w:rsidRDefault="00263A7F" w:rsidP="00263A7F">
            <w:pPr>
              <w:jc w:val="center"/>
              <w:rPr>
                <w:rFonts w:ascii="Calibri" w:hAnsi="Calibri"/>
              </w:rPr>
            </w:pPr>
            <w:r w:rsidRPr="00263A7F">
              <w:rPr>
                <w:rFonts w:ascii="Calibri" w:hAnsi="Calibri"/>
              </w:rPr>
              <w:t>Number of Exam Questions</w:t>
            </w:r>
          </w:p>
        </w:tc>
      </w:tr>
      <w:tr w:rsidR="00263A7F" w:rsidRPr="00263A7F" w:rsidTr="00263A7F">
        <w:trPr>
          <w:trHeight w:val="432"/>
        </w:trPr>
        <w:tc>
          <w:tcPr>
            <w:tcW w:w="3145" w:type="dxa"/>
            <w:hideMark/>
          </w:tcPr>
          <w:p w:rsidR="00263A7F" w:rsidRPr="00263A7F" w:rsidRDefault="00263A7F" w:rsidP="00263A7F">
            <w:pPr>
              <w:rPr>
                <w:rFonts w:ascii="Calibri" w:hAnsi="Calibri"/>
              </w:rPr>
            </w:pPr>
            <w:r w:rsidRPr="00263A7F">
              <w:rPr>
                <w:rFonts w:ascii="Calibri" w:hAnsi="Calibri"/>
              </w:rPr>
              <w:t>Learning Outcome A</w:t>
            </w:r>
          </w:p>
        </w:tc>
        <w:tc>
          <w:tcPr>
            <w:tcW w:w="3240" w:type="dxa"/>
            <w:hideMark/>
          </w:tcPr>
          <w:p w:rsidR="00263A7F" w:rsidRPr="00263A7F" w:rsidRDefault="00263A7F" w:rsidP="00263A7F">
            <w:pPr>
              <w:jc w:val="center"/>
              <w:rPr>
                <w:rFonts w:ascii="Calibri" w:hAnsi="Calibri"/>
              </w:rPr>
            </w:pPr>
            <w:r w:rsidRPr="00263A7F">
              <w:rPr>
                <w:rFonts w:ascii="Calibri" w:hAnsi="Calibri"/>
              </w:rPr>
              <w:t>30%</w:t>
            </w:r>
          </w:p>
        </w:tc>
        <w:tc>
          <w:tcPr>
            <w:tcW w:w="3456" w:type="dxa"/>
            <w:hideMark/>
          </w:tcPr>
          <w:p w:rsidR="00263A7F" w:rsidRPr="00263A7F" w:rsidRDefault="00263A7F" w:rsidP="00263A7F">
            <w:pPr>
              <w:jc w:val="center"/>
              <w:rPr>
                <w:rFonts w:ascii="Calibri" w:hAnsi="Calibri"/>
              </w:rPr>
            </w:pPr>
            <w:r w:rsidRPr="00263A7F">
              <w:rPr>
                <w:rFonts w:ascii="Calibri" w:hAnsi="Calibri"/>
              </w:rPr>
              <w:t>30</w:t>
            </w:r>
          </w:p>
        </w:tc>
      </w:tr>
      <w:tr w:rsidR="00263A7F" w:rsidRPr="00263A7F" w:rsidTr="00263A7F">
        <w:trPr>
          <w:trHeight w:val="432"/>
        </w:trPr>
        <w:tc>
          <w:tcPr>
            <w:tcW w:w="3145" w:type="dxa"/>
            <w:hideMark/>
          </w:tcPr>
          <w:p w:rsidR="00263A7F" w:rsidRPr="00263A7F" w:rsidRDefault="00263A7F" w:rsidP="00263A7F">
            <w:pPr>
              <w:rPr>
                <w:rFonts w:ascii="Calibri" w:hAnsi="Calibri"/>
              </w:rPr>
            </w:pPr>
            <w:r w:rsidRPr="00263A7F">
              <w:rPr>
                <w:rFonts w:ascii="Calibri" w:hAnsi="Calibri"/>
              </w:rPr>
              <w:t>Learning Outcome B</w:t>
            </w:r>
          </w:p>
        </w:tc>
        <w:tc>
          <w:tcPr>
            <w:tcW w:w="3240" w:type="dxa"/>
            <w:hideMark/>
          </w:tcPr>
          <w:p w:rsidR="00263A7F" w:rsidRPr="00263A7F" w:rsidRDefault="00263A7F" w:rsidP="00263A7F">
            <w:pPr>
              <w:jc w:val="center"/>
              <w:rPr>
                <w:rFonts w:ascii="Calibri" w:hAnsi="Calibri"/>
              </w:rPr>
            </w:pPr>
            <w:r w:rsidRPr="00263A7F">
              <w:rPr>
                <w:rFonts w:ascii="Calibri" w:hAnsi="Calibri"/>
              </w:rPr>
              <w:t>40%</w:t>
            </w:r>
          </w:p>
        </w:tc>
        <w:tc>
          <w:tcPr>
            <w:tcW w:w="3456" w:type="dxa"/>
            <w:hideMark/>
          </w:tcPr>
          <w:p w:rsidR="00263A7F" w:rsidRPr="00263A7F" w:rsidRDefault="00263A7F" w:rsidP="00263A7F">
            <w:pPr>
              <w:jc w:val="center"/>
              <w:rPr>
                <w:rFonts w:ascii="Calibri" w:hAnsi="Calibri"/>
              </w:rPr>
            </w:pPr>
            <w:r w:rsidRPr="00263A7F">
              <w:rPr>
                <w:rFonts w:ascii="Calibri" w:hAnsi="Calibri"/>
              </w:rPr>
              <w:t>40</w:t>
            </w:r>
          </w:p>
        </w:tc>
      </w:tr>
      <w:tr w:rsidR="00263A7F" w:rsidRPr="00263A7F" w:rsidTr="00263A7F">
        <w:trPr>
          <w:trHeight w:val="432"/>
        </w:trPr>
        <w:tc>
          <w:tcPr>
            <w:tcW w:w="3145" w:type="dxa"/>
            <w:hideMark/>
          </w:tcPr>
          <w:p w:rsidR="00263A7F" w:rsidRPr="00263A7F" w:rsidRDefault="00263A7F" w:rsidP="00263A7F">
            <w:pPr>
              <w:rPr>
                <w:rFonts w:ascii="Calibri" w:hAnsi="Calibri"/>
              </w:rPr>
            </w:pPr>
            <w:r w:rsidRPr="00263A7F">
              <w:rPr>
                <w:rFonts w:ascii="Calibri" w:hAnsi="Calibri"/>
              </w:rPr>
              <w:t>Learning Outcome C</w:t>
            </w:r>
          </w:p>
        </w:tc>
        <w:tc>
          <w:tcPr>
            <w:tcW w:w="3240" w:type="dxa"/>
            <w:hideMark/>
          </w:tcPr>
          <w:p w:rsidR="00263A7F" w:rsidRPr="00263A7F" w:rsidRDefault="00263A7F" w:rsidP="00263A7F">
            <w:pPr>
              <w:jc w:val="center"/>
              <w:rPr>
                <w:rFonts w:ascii="Calibri" w:hAnsi="Calibri"/>
              </w:rPr>
            </w:pPr>
            <w:r w:rsidRPr="00263A7F">
              <w:rPr>
                <w:rFonts w:ascii="Calibri" w:hAnsi="Calibri"/>
              </w:rPr>
              <w:t>20%</w:t>
            </w:r>
          </w:p>
        </w:tc>
        <w:tc>
          <w:tcPr>
            <w:tcW w:w="3456" w:type="dxa"/>
            <w:hideMark/>
          </w:tcPr>
          <w:p w:rsidR="00263A7F" w:rsidRPr="00263A7F" w:rsidRDefault="00263A7F" w:rsidP="00263A7F">
            <w:pPr>
              <w:jc w:val="center"/>
              <w:rPr>
                <w:rFonts w:ascii="Calibri" w:hAnsi="Calibri"/>
              </w:rPr>
            </w:pPr>
            <w:r w:rsidRPr="00263A7F">
              <w:rPr>
                <w:rFonts w:ascii="Calibri" w:hAnsi="Calibri"/>
              </w:rPr>
              <w:t>20</w:t>
            </w:r>
          </w:p>
        </w:tc>
      </w:tr>
      <w:tr w:rsidR="00263A7F" w:rsidRPr="00263A7F" w:rsidTr="00263A7F">
        <w:trPr>
          <w:trHeight w:val="432"/>
        </w:trPr>
        <w:tc>
          <w:tcPr>
            <w:tcW w:w="3145" w:type="dxa"/>
            <w:hideMark/>
          </w:tcPr>
          <w:p w:rsidR="00263A7F" w:rsidRPr="00263A7F" w:rsidRDefault="00263A7F" w:rsidP="00263A7F">
            <w:pPr>
              <w:rPr>
                <w:rFonts w:ascii="Calibri" w:hAnsi="Calibri"/>
              </w:rPr>
            </w:pPr>
            <w:r w:rsidRPr="00263A7F">
              <w:rPr>
                <w:rFonts w:ascii="Calibri" w:hAnsi="Calibri"/>
              </w:rPr>
              <w:t>Learning Outcome D</w:t>
            </w:r>
          </w:p>
        </w:tc>
        <w:tc>
          <w:tcPr>
            <w:tcW w:w="3240" w:type="dxa"/>
            <w:hideMark/>
          </w:tcPr>
          <w:p w:rsidR="00263A7F" w:rsidRPr="00263A7F" w:rsidRDefault="00263A7F" w:rsidP="00263A7F">
            <w:pPr>
              <w:jc w:val="center"/>
              <w:rPr>
                <w:rFonts w:ascii="Calibri" w:hAnsi="Calibri"/>
              </w:rPr>
            </w:pPr>
            <w:r w:rsidRPr="00263A7F">
              <w:rPr>
                <w:rFonts w:ascii="Calibri" w:hAnsi="Calibri"/>
              </w:rPr>
              <w:t>10%</w:t>
            </w:r>
          </w:p>
        </w:tc>
        <w:tc>
          <w:tcPr>
            <w:tcW w:w="3456" w:type="dxa"/>
            <w:hideMark/>
          </w:tcPr>
          <w:p w:rsidR="00263A7F" w:rsidRPr="00263A7F" w:rsidRDefault="00263A7F" w:rsidP="00263A7F">
            <w:pPr>
              <w:jc w:val="center"/>
              <w:rPr>
                <w:rFonts w:ascii="Calibri" w:hAnsi="Calibri"/>
              </w:rPr>
            </w:pPr>
            <w:r w:rsidRPr="00263A7F">
              <w:rPr>
                <w:rFonts w:ascii="Calibri" w:hAnsi="Calibri"/>
              </w:rPr>
              <w:t>10</w:t>
            </w:r>
          </w:p>
        </w:tc>
      </w:tr>
    </w:tbl>
    <w:p w:rsidR="00263A7F" w:rsidRDefault="00263A7F" w:rsidP="00C36415">
      <w:pPr>
        <w:rPr>
          <w:rFonts w:ascii="Calibri" w:hAnsi="Calibri"/>
        </w:rPr>
      </w:pPr>
    </w:p>
    <w:p w:rsidR="00D07CD4" w:rsidRDefault="00D07CD4" w:rsidP="00C36415">
      <w:pPr>
        <w:rPr>
          <w:rFonts w:ascii="Calibri" w:hAnsi="Calibri"/>
          <w:b/>
        </w:rPr>
      </w:pPr>
    </w:p>
    <w:p w:rsidR="00D07CD4" w:rsidRDefault="00D07CD4" w:rsidP="00C36415">
      <w:pPr>
        <w:rPr>
          <w:rFonts w:ascii="Calibri" w:hAnsi="Calibri"/>
          <w:b/>
        </w:rPr>
      </w:pPr>
    </w:p>
    <w:p w:rsidR="00D07CD4" w:rsidRDefault="00D07CD4" w:rsidP="00C36415">
      <w:pPr>
        <w:rPr>
          <w:rFonts w:ascii="Calibri" w:hAnsi="Calibri"/>
          <w:b/>
        </w:rPr>
      </w:pPr>
    </w:p>
    <w:p w:rsidR="00D07CD4" w:rsidRDefault="00D07CD4" w:rsidP="00C36415">
      <w:pPr>
        <w:rPr>
          <w:rFonts w:ascii="Calibri" w:hAnsi="Calibri"/>
          <w:b/>
        </w:rPr>
      </w:pPr>
    </w:p>
    <w:p w:rsidR="00D07CD4" w:rsidRDefault="00D07CD4" w:rsidP="00C36415">
      <w:pPr>
        <w:rPr>
          <w:rFonts w:ascii="Calibri" w:hAnsi="Calibri"/>
          <w:b/>
        </w:rPr>
      </w:pPr>
    </w:p>
    <w:p w:rsidR="00D07CD4" w:rsidRDefault="00D07CD4" w:rsidP="00C36415">
      <w:pPr>
        <w:rPr>
          <w:rFonts w:ascii="Calibri" w:hAnsi="Calibri"/>
          <w:b/>
        </w:rPr>
      </w:pPr>
    </w:p>
    <w:p w:rsidR="00D07CD4" w:rsidRDefault="00D07CD4" w:rsidP="00C36415">
      <w:pPr>
        <w:rPr>
          <w:rFonts w:ascii="Calibri" w:hAnsi="Calibri"/>
          <w:b/>
        </w:rPr>
      </w:pPr>
    </w:p>
    <w:p w:rsidR="00263A7F" w:rsidRPr="00263A7F" w:rsidRDefault="00263A7F" w:rsidP="00C36415">
      <w:pPr>
        <w:rPr>
          <w:rFonts w:ascii="Calibri" w:hAnsi="Calibri"/>
          <w:b/>
        </w:rPr>
      </w:pPr>
      <w:r w:rsidRPr="00263A7F">
        <w:rPr>
          <w:rFonts w:ascii="Calibri" w:hAnsi="Calibri"/>
          <w:b/>
        </w:rPr>
        <w:lastRenderedPageBreak/>
        <w:t>Step 3: Develop the assessment rubric based on frequency for each learning outcome</w:t>
      </w:r>
    </w:p>
    <w:p w:rsidR="00263A7F" w:rsidRDefault="002D1995" w:rsidP="00C36415">
      <w:pPr>
        <w:rPr>
          <w:rFonts w:ascii="Calibri" w:hAnsi="Calibri"/>
        </w:rPr>
      </w:pPr>
      <w:r>
        <w:rPr>
          <w:rFonts w:ascii="Calibri" w:hAnsi="Calibri"/>
        </w:rPr>
        <w:t>For example, L</w:t>
      </w:r>
      <w:r w:rsidR="00263A7F">
        <w:rPr>
          <w:rFonts w:ascii="Calibri" w:hAnsi="Calibri"/>
        </w:rPr>
        <w:t>earning Outcome A accounts for 30% of the course, and therefore 30 questions.</w:t>
      </w:r>
    </w:p>
    <w:p w:rsidR="00263A7F" w:rsidRDefault="00263A7F" w:rsidP="00C36415">
      <w:pPr>
        <w:rPr>
          <w:rFonts w:ascii="Calibri" w:hAnsi="Calibri"/>
        </w:rPr>
      </w:pPr>
    </w:p>
    <w:tbl>
      <w:tblPr>
        <w:tblStyle w:val="GridTable1Light"/>
        <w:tblW w:w="9845" w:type="dxa"/>
        <w:tblLook w:val="0420" w:firstRow="1" w:lastRow="0" w:firstColumn="0" w:lastColumn="0" w:noHBand="0" w:noVBand="1"/>
      </w:tblPr>
      <w:tblGrid>
        <w:gridCol w:w="4405"/>
        <w:gridCol w:w="3163"/>
        <w:gridCol w:w="2277"/>
      </w:tblGrid>
      <w:tr w:rsidR="00263A7F" w:rsidRPr="00263A7F" w:rsidTr="002D1995">
        <w:trPr>
          <w:cnfStyle w:val="100000000000" w:firstRow="1" w:lastRow="0" w:firstColumn="0" w:lastColumn="0" w:oddVBand="0" w:evenVBand="0" w:oddHBand="0" w:evenHBand="0" w:firstRowFirstColumn="0" w:firstRowLastColumn="0" w:lastRowFirstColumn="0" w:lastRowLastColumn="0"/>
          <w:trHeight w:val="576"/>
        </w:trPr>
        <w:tc>
          <w:tcPr>
            <w:tcW w:w="4405" w:type="dxa"/>
            <w:vAlign w:val="center"/>
            <w:hideMark/>
          </w:tcPr>
          <w:p w:rsidR="00263A7F" w:rsidRPr="00263A7F" w:rsidRDefault="00263A7F" w:rsidP="002D1995">
            <w:pPr>
              <w:jc w:val="center"/>
              <w:rPr>
                <w:rFonts w:ascii="Calibri" w:hAnsi="Calibri"/>
              </w:rPr>
            </w:pPr>
            <w:r w:rsidRPr="00263A7F">
              <w:rPr>
                <w:rFonts w:ascii="Calibri" w:hAnsi="Calibri"/>
              </w:rPr>
              <w:t>Learning Outcome A</w:t>
            </w:r>
          </w:p>
        </w:tc>
        <w:tc>
          <w:tcPr>
            <w:tcW w:w="3163" w:type="dxa"/>
            <w:vAlign w:val="center"/>
            <w:hideMark/>
          </w:tcPr>
          <w:p w:rsidR="00263A7F" w:rsidRPr="00263A7F" w:rsidRDefault="00263A7F" w:rsidP="002D1995">
            <w:pPr>
              <w:jc w:val="center"/>
              <w:rPr>
                <w:rFonts w:ascii="Calibri" w:hAnsi="Calibri"/>
              </w:rPr>
            </w:pPr>
            <w:r w:rsidRPr="00263A7F">
              <w:rPr>
                <w:rFonts w:ascii="Calibri" w:hAnsi="Calibri"/>
              </w:rPr>
              <w:t>Percentage of Exam Questions as per Type of Cognition</w:t>
            </w:r>
          </w:p>
        </w:tc>
        <w:tc>
          <w:tcPr>
            <w:tcW w:w="2277" w:type="dxa"/>
            <w:vAlign w:val="center"/>
            <w:hideMark/>
          </w:tcPr>
          <w:p w:rsidR="00263A7F" w:rsidRPr="00263A7F" w:rsidRDefault="00263A7F" w:rsidP="002D1995">
            <w:pPr>
              <w:jc w:val="center"/>
              <w:rPr>
                <w:rFonts w:ascii="Calibri" w:hAnsi="Calibri"/>
              </w:rPr>
            </w:pPr>
            <w:r w:rsidRPr="00263A7F">
              <w:rPr>
                <w:rFonts w:ascii="Calibri" w:hAnsi="Calibri"/>
              </w:rPr>
              <w:t>Number of Written Questions</w:t>
            </w:r>
          </w:p>
        </w:tc>
      </w:tr>
      <w:tr w:rsidR="00263A7F" w:rsidRPr="00263A7F" w:rsidTr="002D1995">
        <w:trPr>
          <w:trHeight w:val="720"/>
        </w:trPr>
        <w:tc>
          <w:tcPr>
            <w:tcW w:w="4405" w:type="dxa"/>
            <w:hideMark/>
          </w:tcPr>
          <w:p w:rsidR="00263A7F" w:rsidRPr="00263A7F" w:rsidRDefault="00263A7F" w:rsidP="00263A7F">
            <w:pPr>
              <w:rPr>
                <w:rFonts w:ascii="Calibri" w:hAnsi="Calibri"/>
              </w:rPr>
            </w:pPr>
            <w:r w:rsidRPr="00263A7F">
              <w:rPr>
                <w:rFonts w:ascii="Calibri" w:hAnsi="Calibri"/>
              </w:rPr>
              <w:t>Knowledge of major ideas or mastery of subject matter</w:t>
            </w:r>
          </w:p>
        </w:tc>
        <w:tc>
          <w:tcPr>
            <w:tcW w:w="3163" w:type="dxa"/>
            <w:hideMark/>
          </w:tcPr>
          <w:p w:rsidR="00263A7F" w:rsidRPr="00263A7F" w:rsidRDefault="00263A7F" w:rsidP="002D1995">
            <w:pPr>
              <w:jc w:val="center"/>
              <w:rPr>
                <w:rFonts w:ascii="Calibri" w:hAnsi="Calibri"/>
              </w:rPr>
            </w:pPr>
            <w:r w:rsidRPr="00263A7F">
              <w:rPr>
                <w:rFonts w:ascii="Calibri" w:hAnsi="Calibri"/>
              </w:rPr>
              <w:t>40%</w:t>
            </w:r>
          </w:p>
        </w:tc>
        <w:tc>
          <w:tcPr>
            <w:tcW w:w="2277" w:type="dxa"/>
            <w:hideMark/>
          </w:tcPr>
          <w:p w:rsidR="00263A7F" w:rsidRPr="00263A7F" w:rsidRDefault="002D1995" w:rsidP="002D1995">
            <w:pPr>
              <w:jc w:val="center"/>
              <w:rPr>
                <w:rFonts w:ascii="Calibri" w:hAnsi="Calibri"/>
              </w:rPr>
            </w:pPr>
            <w:r>
              <w:rPr>
                <w:rFonts w:ascii="Calibri" w:hAnsi="Calibri"/>
              </w:rPr>
              <w:t xml:space="preserve">0.4 * 30 = </w:t>
            </w:r>
            <w:r w:rsidR="00263A7F" w:rsidRPr="00263A7F">
              <w:rPr>
                <w:rFonts w:ascii="Calibri" w:hAnsi="Calibri"/>
              </w:rPr>
              <w:t>12</w:t>
            </w:r>
          </w:p>
        </w:tc>
      </w:tr>
      <w:tr w:rsidR="00263A7F" w:rsidRPr="00263A7F" w:rsidTr="002D1995">
        <w:trPr>
          <w:trHeight w:val="720"/>
        </w:trPr>
        <w:tc>
          <w:tcPr>
            <w:tcW w:w="4405" w:type="dxa"/>
            <w:hideMark/>
          </w:tcPr>
          <w:p w:rsidR="00263A7F" w:rsidRPr="00263A7F" w:rsidRDefault="00263A7F" w:rsidP="00263A7F">
            <w:pPr>
              <w:rPr>
                <w:rFonts w:ascii="Calibri" w:hAnsi="Calibri"/>
              </w:rPr>
            </w:pPr>
            <w:r w:rsidRPr="00263A7F">
              <w:rPr>
                <w:rFonts w:ascii="Calibri" w:hAnsi="Calibri"/>
              </w:rPr>
              <w:t>Understanding, grasping meaning, interpretation</w:t>
            </w:r>
          </w:p>
        </w:tc>
        <w:tc>
          <w:tcPr>
            <w:tcW w:w="3163" w:type="dxa"/>
            <w:hideMark/>
          </w:tcPr>
          <w:p w:rsidR="00263A7F" w:rsidRPr="00263A7F" w:rsidRDefault="00263A7F" w:rsidP="002D1995">
            <w:pPr>
              <w:jc w:val="center"/>
              <w:rPr>
                <w:rFonts w:ascii="Calibri" w:hAnsi="Calibri"/>
              </w:rPr>
            </w:pPr>
            <w:r w:rsidRPr="00263A7F">
              <w:rPr>
                <w:rFonts w:ascii="Calibri" w:hAnsi="Calibri"/>
              </w:rPr>
              <w:t>10%</w:t>
            </w:r>
          </w:p>
        </w:tc>
        <w:tc>
          <w:tcPr>
            <w:tcW w:w="2277" w:type="dxa"/>
            <w:hideMark/>
          </w:tcPr>
          <w:p w:rsidR="00263A7F" w:rsidRPr="00263A7F" w:rsidRDefault="002D1995" w:rsidP="002D1995">
            <w:pPr>
              <w:jc w:val="center"/>
              <w:rPr>
                <w:rFonts w:ascii="Calibri" w:hAnsi="Calibri"/>
              </w:rPr>
            </w:pPr>
            <w:r>
              <w:rPr>
                <w:rFonts w:ascii="Calibri" w:hAnsi="Calibri"/>
              </w:rPr>
              <w:t xml:space="preserve">0.1 * 30 = </w:t>
            </w:r>
            <w:r w:rsidR="00263A7F" w:rsidRPr="00263A7F">
              <w:rPr>
                <w:rFonts w:ascii="Calibri" w:hAnsi="Calibri"/>
              </w:rPr>
              <w:t>3</w:t>
            </w:r>
          </w:p>
        </w:tc>
      </w:tr>
      <w:tr w:rsidR="00263A7F" w:rsidRPr="00263A7F" w:rsidTr="002D1995">
        <w:trPr>
          <w:trHeight w:val="720"/>
        </w:trPr>
        <w:tc>
          <w:tcPr>
            <w:tcW w:w="4405" w:type="dxa"/>
            <w:hideMark/>
          </w:tcPr>
          <w:p w:rsidR="00263A7F" w:rsidRPr="00263A7F" w:rsidRDefault="00263A7F" w:rsidP="00263A7F">
            <w:pPr>
              <w:rPr>
                <w:rFonts w:ascii="Calibri" w:hAnsi="Calibri"/>
              </w:rPr>
            </w:pPr>
            <w:r w:rsidRPr="00263A7F">
              <w:rPr>
                <w:rFonts w:ascii="Calibri" w:hAnsi="Calibri"/>
              </w:rPr>
              <w:t>Use information to solve problems using required skills or knowledge</w:t>
            </w:r>
          </w:p>
        </w:tc>
        <w:tc>
          <w:tcPr>
            <w:tcW w:w="3163" w:type="dxa"/>
            <w:hideMark/>
          </w:tcPr>
          <w:p w:rsidR="00263A7F" w:rsidRPr="00263A7F" w:rsidRDefault="00263A7F" w:rsidP="002D1995">
            <w:pPr>
              <w:jc w:val="center"/>
              <w:rPr>
                <w:rFonts w:ascii="Calibri" w:hAnsi="Calibri"/>
              </w:rPr>
            </w:pPr>
            <w:r w:rsidRPr="00263A7F">
              <w:rPr>
                <w:rFonts w:ascii="Calibri" w:hAnsi="Calibri"/>
              </w:rPr>
              <w:t>50%</w:t>
            </w:r>
          </w:p>
        </w:tc>
        <w:tc>
          <w:tcPr>
            <w:tcW w:w="2277" w:type="dxa"/>
            <w:hideMark/>
          </w:tcPr>
          <w:p w:rsidR="00263A7F" w:rsidRPr="00263A7F" w:rsidRDefault="002D1995" w:rsidP="002D1995">
            <w:pPr>
              <w:jc w:val="center"/>
              <w:rPr>
                <w:rFonts w:ascii="Calibri" w:hAnsi="Calibri"/>
              </w:rPr>
            </w:pPr>
            <w:r>
              <w:rPr>
                <w:rFonts w:ascii="Calibri" w:hAnsi="Calibri"/>
              </w:rPr>
              <w:t xml:space="preserve">0.5 * 30 = </w:t>
            </w:r>
            <w:r w:rsidR="00263A7F" w:rsidRPr="00263A7F">
              <w:rPr>
                <w:rFonts w:ascii="Calibri" w:hAnsi="Calibri"/>
              </w:rPr>
              <w:t>15</w:t>
            </w:r>
          </w:p>
        </w:tc>
      </w:tr>
    </w:tbl>
    <w:p w:rsidR="00C92307" w:rsidRDefault="00C92307" w:rsidP="00C36415">
      <w:pPr>
        <w:rPr>
          <w:rFonts w:ascii="Calibri" w:hAnsi="Calibri"/>
        </w:rPr>
      </w:pPr>
    </w:p>
    <w:p w:rsidR="001064C2" w:rsidRPr="001064C2" w:rsidRDefault="001064C2" w:rsidP="00C36415">
      <w:pPr>
        <w:rPr>
          <w:rFonts w:ascii="Calibri" w:hAnsi="Calibri"/>
          <w:b/>
        </w:rPr>
      </w:pPr>
      <w:r w:rsidRPr="001064C2">
        <w:rPr>
          <w:rFonts w:ascii="Calibri" w:hAnsi="Calibri"/>
          <w:b/>
        </w:rPr>
        <w:t>Step 4: Develop the Practical Examination using same standards as utilized in the course</w:t>
      </w:r>
    </w:p>
    <w:p w:rsidR="001064C2" w:rsidRDefault="001064C2" w:rsidP="00C36415">
      <w:pPr>
        <w:rPr>
          <w:rFonts w:ascii="Calibri" w:hAnsi="Calibri"/>
        </w:rPr>
      </w:pPr>
      <w:r>
        <w:rPr>
          <w:rFonts w:ascii="Calibri" w:hAnsi="Calibri"/>
        </w:rPr>
        <w:t xml:space="preserve">For the practical examination, faculty should develop a rubric </w:t>
      </w:r>
      <w:r w:rsidRPr="001064C2">
        <w:rPr>
          <w:rFonts w:ascii="Calibri" w:hAnsi="Calibri"/>
        </w:rPr>
        <w:t xml:space="preserve">that identifies </w:t>
      </w:r>
      <w:r>
        <w:rPr>
          <w:rFonts w:ascii="Calibri" w:hAnsi="Calibri"/>
        </w:rPr>
        <w:t xml:space="preserve">the </w:t>
      </w:r>
      <w:r w:rsidRPr="001064C2">
        <w:rPr>
          <w:rFonts w:ascii="Calibri" w:hAnsi="Calibri"/>
        </w:rPr>
        <w:t xml:space="preserve">critical components of the work and discriminates </w:t>
      </w:r>
      <w:r>
        <w:rPr>
          <w:rFonts w:ascii="Calibri" w:hAnsi="Calibri"/>
        </w:rPr>
        <w:t xml:space="preserve">the </w:t>
      </w:r>
      <w:r w:rsidRPr="001064C2">
        <w:rPr>
          <w:rFonts w:ascii="Calibri" w:hAnsi="Calibri"/>
        </w:rPr>
        <w:t>differing levels of proficiency.</w:t>
      </w:r>
    </w:p>
    <w:p w:rsidR="00C92307" w:rsidRDefault="00C92307" w:rsidP="00C36415">
      <w:pPr>
        <w:rPr>
          <w:rFonts w:ascii="Calibri" w:hAnsi="Calibri"/>
        </w:rPr>
      </w:pPr>
    </w:p>
    <w:p w:rsidR="001064C2" w:rsidRDefault="001064C2" w:rsidP="00C36415">
      <w:pPr>
        <w:rPr>
          <w:rFonts w:ascii="Calibri" w:hAnsi="Calibri"/>
        </w:rPr>
      </w:pPr>
      <w:r>
        <w:rPr>
          <w:rFonts w:ascii="Calibri" w:hAnsi="Calibri"/>
        </w:rPr>
        <w:t>For example, students must machine a widget to the following tolerances:</w:t>
      </w:r>
    </w:p>
    <w:p w:rsidR="001064C2" w:rsidRDefault="001064C2" w:rsidP="00C36415">
      <w:pPr>
        <w:rPr>
          <w:rFonts w:ascii="Calibri" w:hAnsi="Calibri"/>
        </w:rPr>
      </w:pPr>
    </w:p>
    <w:p w:rsidR="001064C2" w:rsidRPr="001064C2" w:rsidRDefault="001064C2" w:rsidP="00C36415">
      <w:pPr>
        <w:rPr>
          <w:rFonts w:ascii="Calibri" w:hAnsi="Calibri"/>
          <w:b/>
        </w:rPr>
      </w:pPr>
      <w:r w:rsidRPr="001064C2">
        <w:rPr>
          <w:rFonts w:ascii="Calibri" w:hAnsi="Calibri"/>
          <w:b/>
        </w:rPr>
        <w:tab/>
      </w:r>
      <w:r w:rsidRPr="001064C2">
        <w:rPr>
          <w:rFonts w:ascii="Calibri" w:hAnsi="Calibri"/>
          <w:b/>
          <w:u w:val="single"/>
        </w:rPr>
        <w:t>Tolerance</w:t>
      </w:r>
      <w:r w:rsidRPr="001064C2">
        <w:rPr>
          <w:rFonts w:ascii="Calibri" w:hAnsi="Calibri"/>
          <w:b/>
        </w:rPr>
        <w:tab/>
      </w:r>
      <w:r w:rsidRPr="001064C2">
        <w:rPr>
          <w:rFonts w:ascii="Calibri" w:hAnsi="Calibri"/>
          <w:b/>
        </w:rPr>
        <w:tab/>
      </w:r>
      <w:r w:rsidRPr="001064C2">
        <w:rPr>
          <w:rFonts w:ascii="Calibri" w:hAnsi="Calibri"/>
          <w:b/>
        </w:rPr>
        <w:tab/>
      </w:r>
      <w:r w:rsidRPr="001064C2">
        <w:rPr>
          <w:rFonts w:ascii="Calibri" w:hAnsi="Calibri"/>
          <w:b/>
          <w:u w:val="single"/>
        </w:rPr>
        <w:t>Grade</w:t>
      </w:r>
    </w:p>
    <w:p w:rsidR="001064C2" w:rsidRDefault="001064C2" w:rsidP="00C36415">
      <w:pPr>
        <w:rPr>
          <w:rFonts w:ascii="Calibri" w:hAnsi="Calibri"/>
        </w:rPr>
      </w:pPr>
      <w:r>
        <w:rPr>
          <w:rFonts w:ascii="Calibri" w:hAnsi="Calibri"/>
        </w:rPr>
        <w:tab/>
        <w:t xml:space="preserve">    0.0 mm</w:t>
      </w:r>
      <w:r>
        <w:rPr>
          <w:rFonts w:ascii="Calibri" w:hAnsi="Calibri"/>
        </w:rPr>
        <w:tab/>
      </w:r>
      <w:r>
        <w:rPr>
          <w:rFonts w:ascii="Calibri" w:hAnsi="Calibri"/>
        </w:rPr>
        <w:tab/>
      </w:r>
      <w:r>
        <w:rPr>
          <w:rFonts w:ascii="Calibri" w:hAnsi="Calibri"/>
        </w:rPr>
        <w:tab/>
        <w:t xml:space="preserve"> 100%</w:t>
      </w:r>
    </w:p>
    <w:p w:rsidR="001064C2" w:rsidRDefault="001064C2" w:rsidP="00C36415">
      <w:pPr>
        <w:rPr>
          <w:rFonts w:ascii="Calibri" w:hAnsi="Calibri"/>
        </w:rPr>
      </w:pPr>
      <w:r>
        <w:rPr>
          <w:rFonts w:ascii="Calibri" w:hAnsi="Calibri"/>
        </w:rPr>
        <w:tab/>
        <w:t xml:space="preserve">    0.2 mm</w:t>
      </w:r>
      <w:r>
        <w:rPr>
          <w:rFonts w:ascii="Calibri" w:hAnsi="Calibri"/>
        </w:rPr>
        <w:tab/>
      </w:r>
      <w:r>
        <w:rPr>
          <w:rFonts w:ascii="Calibri" w:hAnsi="Calibri"/>
        </w:rPr>
        <w:tab/>
      </w:r>
      <w:r>
        <w:rPr>
          <w:rFonts w:ascii="Calibri" w:hAnsi="Calibri"/>
        </w:rPr>
        <w:tab/>
        <w:t xml:space="preserve">   90%</w:t>
      </w:r>
    </w:p>
    <w:p w:rsidR="001064C2" w:rsidRDefault="001064C2" w:rsidP="00C36415">
      <w:pPr>
        <w:rPr>
          <w:rFonts w:ascii="Calibri" w:hAnsi="Calibri"/>
        </w:rPr>
      </w:pPr>
      <w:r>
        <w:rPr>
          <w:rFonts w:ascii="Calibri" w:hAnsi="Calibri"/>
        </w:rPr>
        <w:tab/>
        <w:t xml:space="preserve">    0.4 mm</w:t>
      </w:r>
      <w:r>
        <w:rPr>
          <w:rFonts w:ascii="Calibri" w:hAnsi="Calibri"/>
        </w:rPr>
        <w:tab/>
      </w:r>
      <w:r>
        <w:rPr>
          <w:rFonts w:ascii="Calibri" w:hAnsi="Calibri"/>
        </w:rPr>
        <w:tab/>
      </w:r>
      <w:r>
        <w:rPr>
          <w:rFonts w:ascii="Calibri" w:hAnsi="Calibri"/>
        </w:rPr>
        <w:tab/>
        <w:t xml:space="preserve">   80%</w:t>
      </w:r>
    </w:p>
    <w:p w:rsidR="001064C2" w:rsidRDefault="001064C2" w:rsidP="00C36415">
      <w:pPr>
        <w:rPr>
          <w:rFonts w:ascii="Calibri" w:hAnsi="Calibri"/>
        </w:rPr>
      </w:pPr>
      <w:r>
        <w:rPr>
          <w:rFonts w:ascii="Calibri" w:hAnsi="Calibri"/>
        </w:rPr>
        <w:tab/>
        <w:t xml:space="preserve">    0.5 mm</w:t>
      </w:r>
      <w:r>
        <w:rPr>
          <w:rFonts w:ascii="Calibri" w:hAnsi="Calibri"/>
        </w:rPr>
        <w:tab/>
      </w:r>
      <w:r>
        <w:rPr>
          <w:rFonts w:ascii="Calibri" w:hAnsi="Calibri"/>
        </w:rPr>
        <w:tab/>
      </w:r>
      <w:r>
        <w:rPr>
          <w:rFonts w:ascii="Calibri" w:hAnsi="Calibri"/>
        </w:rPr>
        <w:tab/>
        <w:t xml:space="preserve">   75%</w:t>
      </w:r>
    </w:p>
    <w:p w:rsidR="001064C2" w:rsidRDefault="001064C2" w:rsidP="00C36415">
      <w:pPr>
        <w:rPr>
          <w:rFonts w:ascii="Calibri" w:hAnsi="Calibri"/>
        </w:rPr>
      </w:pPr>
      <w:r>
        <w:rPr>
          <w:rFonts w:ascii="Calibri" w:hAnsi="Calibri"/>
        </w:rPr>
        <w:tab/>
        <w:t xml:space="preserve">  &gt;0.5 mm</w:t>
      </w:r>
      <w:r>
        <w:rPr>
          <w:rFonts w:ascii="Calibri" w:hAnsi="Calibri"/>
        </w:rPr>
        <w:tab/>
      </w:r>
      <w:r>
        <w:rPr>
          <w:rFonts w:ascii="Calibri" w:hAnsi="Calibri"/>
        </w:rPr>
        <w:tab/>
      </w:r>
      <w:r>
        <w:rPr>
          <w:rFonts w:ascii="Calibri" w:hAnsi="Calibri"/>
        </w:rPr>
        <w:tab/>
        <w:t xml:space="preserve">  Failure   </w:t>
      </w:r>
    </w:p>
    <w:p w:rsidR="001064C2" w:rsidRDefault="001064C2" w:rsidP="00C36415">
      <w:pPr>
        <w:rPr>
          <w:rFonts w:ascii="Calibri" w:hAnsi="Calibri"/>
        </w:rPr>
      </w:pPr>
    </w:p>
    <w:p w:rsidR="00BB1B0B" w:rsidRPr="00BB1B0B" w:rsidRDefault="00BB1B0B" w:rsidP="00C36415">
      <w:pPr>
        <w:rPr>
          <w:rFonts w:ascii="Calibri" w:hAnsi="Calibri"/>
          <w:b/>
        </w:rPr>
      </w:pPr>
      <w:r w:rsidRPr="00BB1B0B">
        <w:rPr>
          <w:rFonts w:ascii="Calibri" w:hAnsi="Calibri"/>
          <w:b/>
        </w:rPr>
        <w:t>Step 6: Combine the two scores to determine successful completion of the challenge examination</w:t>
      </w:r>
    </w:p>
    <w:p w:rsidR="00BB1B0B" w:rsidRDefault="00BB1B0B" w:rsidP="00C36415">
      <w:pPr>
        <w:rPr>
          <w:rFonts w:ascii="Calibri" w:hAnsi="Calibri"/>
        </w:rPr>
      </w:pPr>
      <w:r>
        <w:rPr>
          <w:rFonts w:ascii="Calibri" w:hAnsi="Calibri"/>
        </w:rPr>
        <w:tab/>
        <w:t>Written Examination Score</w:t>
      </w:r>
      <w:r>
        <w:rPr>
          <w:rFonts w:ascii="Calibri" w:hAnsi="Calibri"/>
        </w:rPr>
        <w:tab/>
      </w:r>
      <w:r>
        <w:rPr>
          <w:rFonts w:ascii="Calibri" w:hAnsi="Calibri"/>
        </w:rPr>
        <w:tab/>
        <w:t>71%</w:t>
      </w:r>
    </w:p>
    <w:p w:rsidR="00BB1B0B" w:rsidRDefault="00BB1B0B" w:rsidP="00C36415">
      <w:pPr>
        <w:rPr>
          <w:rFonts w:ascii="Calibri" w:hAnsi="Calibri"/>
        </w:rPr>
      </w:pPr>
      <w:r>
        <w:rPr>
          <w:rFonts w:ascii="Calibri" w:hAnsi="Calibri"/>
        </w:rPr>
        <w:tab/>
        <w:t>Practical Examination Score</w:t>
      </w:r>
      <w:r>
        <w:rPr>
          <w:rFonts w:ascii="Calibri" w:hAnsi="Calibri"/>
        </w:rPr>
        <w:tab/>
      </w:r>
      <w:r>
        <w:rPr>
          <w:rFonts w:ascii="Calibri" w:hAnsi="Calibri"/>
        </w:rPr>
        <w:tab/>
        <w:t>80%</w:t>
      </w:r>
    </w:p>
    <w:p w:rsidR="00BB1B0B" w:rsidRDefault="00BB1B0B" w:rsidP="00C36415">
      <w:pPr>
        <w:rPr>
          <w:rFonts w:ascii="Calibri" w:hAnsi="Calibri"/>
        </w:rPr>
      </w:pPr>
      <w:r>
        <w:rPr>
          <w:rFonts w:ascii="Calibri" w:hAnsi="Calibri"/>
        </w:rPr>
        <w:tab/>
        <w:t>Final Score</w:t>
      </w:r>
      <w:r>
        <w:rPr>
          <w:rFonts w:ascii="Calibri" w:hAnsi="Calibri"/>
        </w:rPr>
        <w:tab/>
      </w:r>
      <w:r>
        <w:rPr>
          <w:rFonts w:ascii="Calibri" w:hAnsi="Calibri"/>
        </w:rPr>
        <w:tab/>
      </w:r>
      <w:r>
        <w:rPr>
          <w:rFonts w:ascii="Calibri" w:hAnsi="Calibri"/>
        </w:rPr>
        <w:tab/>
      </w:r>
      <w:r>
        <w:rPr>
          <w:rFonts w:ascii="Calibri" w:hAnsi="Calibri"/>
        </w:rPr>
        <w:tab/>
        <w:t>(0.71 * 0.5) + (0.8 * 0.5) = 75.5%</w:t>
      </w:r>
    </w:p>
    <w:p w:rsidR="00BB1B0B" w:rsidRDefault="00BB1B0B" w:rsidP="00C36415">
      <w:pPr>
        <w:rPr>
          <w:rFonts w:ascii="Calibri" w:hAnsi="Calibri"/>
        </w:rPr>
      </w:pPr>
    </w:p>
    <w:p w:rsidR="00BB1B0B" w:rsidRDefault="00BB1B0B" w:rsidP="00CE6422">
      <w:pPr>
        <w:rPr>
          <w:rFonts w:ascii="Calibri" w:hAnsi="Calibri"/>
        </w:rPr>
      </w:pPr>
      <w:r>
        <w:rPr>
          <w:rFonts w:ascii="Calibri" w:hAnsi="Calibri"/>
        </w:rPr>
        <w:t>Thus, the student successfully challenges the course and receives credit.</w:t>
      </w:r>
    </w:p>
    <w:p w:rsidR="00BB1B0B" w:rsidRDefault="00BB1B0B" w:rsidP="00BB1B0B">
      <w:pPr>
        <w:rPr>
          <w:rFonts w:ascii="Calibri" w:hAnsi="Calibri"/>
        </w:rPr>
      </w:pPr>
    </w:p>
    <w:p w:rsidR="00D22047" w:rsidRPr="00D3580C" w:rsidRDefault="00D22047" w:rsidP="00D22047">
      <w:pPr>
        <w:rPr>
          <w:rFonts w:ascii="Calibri" w:hAnsi="Calibri"/>
          <w:b/>
          <w:smallCaps/>
          <w:color w:val="7030A0"/>
        </w:rPr>
      </w:pPr>
      <w:r w:rsidRPr="00D3580C">
        <w:rPr>
          <w:rFonts w:ascii="Calibri" w:hAnsi="Calibri"/>
          <w:b/>
          <w:smallCaps/>
          <w:color w:val="7030A0"/>
        </w:rPr>
        <w:t>Professional Certification/Industry Credentials</w:t>
      </w:r>
    </w:p>
    <w:p w:rsidR="00D3580C" w:rsidRDefault="00D3580C" w:rsidP="00D22047">
      <w:pPr>
        <w:rPr>
          <w:rFonts w:ascii="Calibri" w:hAnsi="Calibri"/>
        </w:rPr>
      </w:pPr>
      <w:r>
        <w:rPr>
          <w:rFonts w:ascii="Calibri" w:hAnsi="Calibri"/>
        </w:rPr>
        <w:t xml:space="preserve">Many colleges award </w:t>
      </w:r>
      <w:r w:rsidRPr="00D3580C">
        <w:rPr>
          <w:rFonts w:ascii="Calibri" w:hAnsi="Calibri"/>
        </w:rPr>
        <w:t>equivalent course credit for professional certifications and state licensure.</w:t>
      </w:r>
      <w:r>
        <w:rPr>
          <w:rFonts w:ascii="Calibri" w:hAnsi="Calibri"/>
        </w:rPr>
        <w:t xml:space="preserve">  These industry-based certifications may have been earned in a corporate training program or through work experience.  Many industry-based certifications have been</w:t>
      </w:r>
      <w:r w:rsidRPr="00D3580C">
        <w:rPr>
          <w:rFonts w:ascii="Calibri" w:hAnsi="Calibri"/>
        </w:rPr>
        <w:t xml:space="preserve"> evaluated by </w:t>
      </w:r>
      <w:r>
        <w:rPr>
          <w:rFonts w:ascii="Calibri" w:hAnsi="Calibri"/>
        </w:rPr>
        <w:t>the</w:t>
      </w:r>
      <w:r w:rsidRPr="00D3580C">
        <w:rPr>
          <w:rFonts w:ascii="Calibri" w:hAnsi="Calibri"/>
        </w:rPr>
        <w:t xml:space="preserve"> American Cou</w:t>
      </w:r>
      <w:r>
        <w:rPr>
          <w:rFonts w:ascii="Calibri" w:hAnsi="Calibri"/>
        </w:rPr>
        <w:t>ncil on Education</w:t>
      </w:r>
      <w:r w:rsidRPr="00D3580C">
        <w:rPr>
          <w:rFonts w:ascii="Calibri" w:hAnsi="Calibri"/>
        </w:rPr>
        <w:t xml:space="preserve"> and </w:t>
      </w:r>
      <w:r>
        <w:rPr>
          <w:rFonts w:ascii="Calibri" w:hAnsi="Calibri"/>
        </w:rPr>
        <w:t>have been equated to courses required in select</w:t>
      </w:r>
      <w:r w:rsidRPr="00D3580C">
        <w:rPr>
          <w:rFonts w:ascii="Calibri" w:hAnsi="Calibri"/>
        </w:rPr>
        <w:t xml:space="preserve"> degree or certificate program</w:t>
      </w:r>
      <w:r>
        <w:rPr>
          <w:rFonts w:ascii="Calibri" w:hAnsi="Calibri"/>
        </w:rPr>
        <w:t>s much like CLEP, DSST and others</w:t>
      </w:r>
      <w:r w:rsidRPr="00D3580C">
        <w:rPr>
          <w:rFonts w:ascii="Calibri" w:hAnsi="Calibri"/>
        </w:rPr>
        <w:t>.</w:t>
      </w:r>
    </w:p>
    <w:p w:rsidR="00D3580C" w:rsidRDefault="00D3580C" w:rsidP="00D22047">
      <w:pPr>
        <w:rPr>
          <w:rFonts w:ascii="Calibri" w:hAnsi="Calibri"/>
        </w:rPr>
      </w:pPr>
    </w:p>
    <w:p w:rsidR="00D22047" w:rsidRPr="00D31BA7" w:rsidRDefault="00D3580C" w:rsidP="00D22047">
      <w:pPr>
        <w:rPr>
          <w:rFonts w:ascii="Calibri" w:hAnsi="Calibri"/>
        </w:rPr>
      </w:pPr>
      <w:r>
        <w:rPr>
          <w:rFonts w:ascii="Calibri" w:hAnsi="Calibri"/>
        </w:rPr>
        <w:t xml:space="preserve">When colleges </w:t>
      </w:r>
      <w:r w:rsidR="00D22047" w:rsidRPr="00D31BA7">
        <w:rPr>
          <w:rFonts w:ascii="Calibri" w:hAnsi="Calibri"/>
        </w:rPr>
        <w:t xml:space="preserve">utilize professional certifications as an assessment tool </w:t>
      </w:r>
      <w:r>
        <w:rPr>
          <w:rFonts w:ascii="Calibri" w:hAnsi="Calibri"/>
        </w:rPr>
        <w:t xml:space="preserve">or is an expected outcome in a credit course, the college should </w:t>
      </w:r>
      <w:r w:rsidR="00D22047" w:rsidRPr="00D31BA7">
        <w:rPr>
          <w:rFonts w:ascii="Calibri" w:hAnsi="Calibri"/>
        </w:rPr>
        <w:t xml:space="preserve">create a </w:t>
      </w:r>
      <w:r w:rsidR="00D22047" w:rsidRPr="00D31BA7">
        <w:rPr>
          <w:rFonts w:ascii="Calibri" w:hAnsi="Calibri"/>
          <w:b/>
        </w:rPr>
        <w:t>Certification Crosswalk</w:t>
      </w:r>
      <w:r w:rsidR="00D22047" w:rsidRPr="00D31BA7">
        <w:rPr>
          <w:rFonts w:ascii="Calibri" w:hAnsi="Calibri"/>
        </w:rPr>
        <w:t xml:space="preserve">.  </w:t>
      </w:r>
      <w:r w:rsidR="00FD752D">
        <w:rPr>
          <w:rFonts w:ascii="Calibri" w:hAnsi="Calibri"/>
        </w:rPr>
        <w:t xml:space="preserve">This crosswalk matches the industry-based certification to the college course.  </w:t>
      </w:r>
      <w:r w:rsidR="00D22047" w:rsidRPr="00D31BA7">
        <w:rPr>
          <w:rFonts w:ascii="Calibri" w:hAnsi="Calibri"/>
        </w:rPr>
        <w:t>To challenge a course based on possessing a professional certificate, the student must provide the college with the appropriate documentation to validate the industry certification award.  Co</w:t>
      </w:r>
      <w:r w:rsidR="005273E8">
        <w:rPr>
          <w:rFonts w:ascii="Calibri" w:hAnsi="Calibri"/>
        </w:rPr>
        <w:t>lleges may place a time limit. F</w:t>
      </w:r>
      <w:r w:rsidR="00D22047" w:rsidRPr="00D31BA7">
        <w:rPr>
          <w:rFonts w:ascii="Calibri" w:hAnsi="Calibri"/>
        </w:rPr>
        <w:t>or example, the industry certification must have been received within the past three years</w:t>
      </w:r>
      <w:r>
        <w:rPr>
          <w:rFonts w:ascii="Calibri" w:hAnsi="Calibri"/>
        </w:rPr>
        <w:t>.</w:t>
      </w:r>
    </w:p>
    <w:p w:rsidR="00D22047" w:rsidRDefault="00D22047" w:rsidP="00D22047">
      <w:pPr>
        <w:rPr>
          <w:rFonts w:ascii="Calibri" w:hAnsi="Calibri"/>
        </w:rPr>
      </w:pPr>
      <w:r w:rsidRPr="00D31BA7">
        <w:rPr>
          <w:rFonts w:ascii="Calibri" w:hAnsi="Calibri"/>
        </w:rPr>
        <w:lastRenderedPageBreak/>
        <w:t>In some cases, faculty may not feel that a professional certification exam sufficiently proves mastery of course learning outcomes.  For example, A+ is a paper examination.  If in the course in which A+ is utilized learners are required to show mastery on a hands-on or practical examination, the college may require that students complete a practical challenge examination in tandem with the professional certification crosswalk.</w:t>
      </w:r>
    </w:p>
    <w:p w:rsidR="00FD752D" w:rsidRDefault="00FD752D" w:rsidP="00D22047">
      <w:pPr>
        <w:rPr>
          <w:rFonts w:ascii="Calibri" w:hAnsi="Calibri"/>
        </w:rPr>
      </w:pPr>
    </w:p>
    <w:p w:rsidR="00FD752D" w:rsidRDefault="00FD752D" w:rsidP="00D22047">
      <w:pPr>
        <w:rPr>
          <w:rFonts w:ascii="Calibri" w:hAnsi="Calibri"/>
        </w:rPr>
      </w:pPr>
      <w:r>
        <w:rPr>
          <w:rFonts w:ascii="Calibri" w:hAnsi="Calibri"/>
        </w:rPr>
        <w:t>Two colleges have created model industry-based certification crosswalks</w:t>
      </w:r>
      <w:r w:rsidR="0005275E">
        <w:rPr>
          <w:rFonts w:ascii="Calibri" w:hAnsi="Calibri"/>
        </w:rPr>
        <w:t xml:space="preserve">.  At both colleges, </w:t>
      </w:r>
      <w:proofErr w:type="gramStart"/>
      <w:r w:rsidR="0005275E">
        <w:rPr>
          <w:rFonts w:ascii="Calibri" w:hAnsi="Calibri"/>
        </w:rPr>
        <w:t>faculty were</w:t>
      </w:r>
      <w:proofErr w:type="gramEnd"/>
      <w:r w:rsidR="0005275E">
        <w:rPr>
          <w:rFonts w:ascii="Calibri" w:hAnsi="Calibri"/>
        </w:rPr>
        <w:t xml:space="preserve"> involved in evaluating the certifications and comparing learning outcomes from the certifications with course identified learning outcomes.</w:t>
      </w:r>
    </w:p>
    <w:p w:rsidR="00FD752D" w:rsidRDefault="00FD752D" w:rsidP="00D22047">
      <w:pPr>
        <w:rPr>
          <w:rFonts w:ascii="Calibri" w:hAnsi="Calibri"/>
        </w:rPr>
      </w:pPr>
    </w:p>
    <w:p w:rsidR="00FD752D" w:rsidRDefault="00FD752D" w:rsidP="00D22047">
      <w:pPr>
        <w:rPr>
          <w:rFonts w:ascii="Calibri" w:hAnsi="Calibri"/>
        </w:rPr>
      </w:pPr>
      <w:r w:rsidRPr="00FD752D">
        <w:rPr>
          <w:rFonts w:ascii="Calibri" w:hAnsi="Calibri"/>
          <w:b/>
        </w:rPr>
        <w:t>Bossier Parish Community College</w:t>
      </w:r>
      <w:r>
        <w:rPr>
          <w:rFonts w:ascii="Calibri" w:hAnsi="Calibri"/>
          <w:b/>
        </w:rPr>
        <w:t xml:space="preserve"> (LA)</w:t>
      </w:r>
      <w:r>
        <w:rPr>
          <w:rFonts w:ascii="Calibri" w:hAnsi="Calibri"/>
        </w:rPr>
        <w:t xml:space="preserve"> – the college has created two crosswalks; one for industry-based certification and one for standardized challenge exams.  Both are available on the college’s website and are an excellent tool for helping learners determine if they qualify for credit equivalency.</w:t>
      </w:r>
    </w:p>
    <w:p w:rsidR="00FD752D" w:rsidRDefault="00FD752D" w:rsidP="00D22047">
      <w:pPr>
        <w:rPr>
          <w:rFonts w:ascii="Calibri" w:hAnsi="Calibri"/>
        </w:rPr>
      </w:pPr>
    </w:p>
    <w:tbl>
      <w:tblPr>
        <w:tblW w:w="9965" w:type="dxa"/>
        <w:tblCellMar>
          <w:left w:w="0" w:type="dxa"/>
          <w:right w:w="0" w:type="dxa"/>
        </w:tblCellMar>
        <w:tblLook w:val="0600" w:firstRow="0" w:lastRow="0" w:firstColumn="0" w:lastColumn="0" w:noHBand="1" w:noVBand="1"/>
      </w:tblPr>
      <w:tblGrid>
        <w:gridCol w:w="3456"/>
        <w:gridCol w:w="4274"/>
        <w:gridCol w:w="2235"/>
      </w:tblGrid>
      <w:tr w:rsidR="00FD752D" w:rsidRPr="00FD752D" w:rsidTr="00FD752D">
        <w:trPr>
          <w:trHeight w:val="364"/>
        </w:trPr>
        <w:tc>
          <w:tcPr>
            <w:tcW w:w="3456"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hideMark/>
          </w:tcPr>
          <w:p w:rsidR="00FD752D" w:rsidRPr="00FD752D" w:rsidRDefault="00FD752D" w:rsidP="00FD752D">
            <w:pPr>
              <w:rPr>
                <w:rFonts w:ascii="Calibri" w:hAnsi="Calibri"/>
              </w:rPr>
            </w:pPr>
            <w:r w:rsidRPr="00FD752D">
              <w:rPr>
                <w:rFonts w:ascii="Calibri" w:hAnsi="Calibri"/>
                <w:b/>
                <w:bCs/>
              </w:rPr>
              <w:t>EQUIVALENT BPCC COURSE</w:t>
            </w:r>
          </w:p>
        </w:tc>
        <w:tc>
          <w:tcPr>
            <w:tcW w:w="427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hideMark/>
          </w:tcPr>
          <w:p w:rsidR="00FD752D" w:rsidRPr="00FD752D" w:rsidRDefault="00FD752D" w:rsidP="00FD752D">
            <w:pPr>
              <w:rPr>
                <w:rFonts w:ascii="Calibri" w:hAnsi="Calibri"/>
              </w:rPr>
            </w:pPr>
            <w:r w:rsidRPr="00FD752D">
              <w:rPr>
                <w:rFonts w:ascii="Calibri" w:hAnsi="Calibri"/>
                <w:b/>
                <w:bCs/>
              </w:rPr>
              <w:t>CLEP Exam</w:t>
            </w:r>
          </w:p>
        </w:tc>
        <w:tc>
          <w:tcPr>
            <w:tcW w:w="22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hideMark/>
          </w:tcPr>
          <w:p w:rsidR="00FD752D" w:rsidRPr="00FD752D" w:rsidRDefault="00FD752D" w:rsidP="00FD752D">
            <w:pPr>
              <w:rPr>
                <w:rFonts w:ascii="Calibri" w:hAnsi="Calibri"/>
              </w:rPr>
            </w:pPr>
            <w:r w:rsidRPr="00FD752D">
              <w:rPr>
                <w:rFonts w:ascii="Calibri" w:hAnsi="Calibri"/>
                <w:b/>
                <w:bCs/>
              </w:rPr>
              <w:t>Hours</w:t>
            </w:r>
          </w:p>
        </w:tc>
      </w:tr>
      <w:tr w:rsidR="00FD752D" w:rsidRPr="00FD752D" w:rsidTr="00FD752D">
        <w:trPr>
          <w:trHeight w:val="494"/>
        </w:trPr>
        <w:tc>
          <w:tcPr>
            <w:tcW w:w="3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FD752D">
            <w:pPr>
              <w:rPr>
                <w:rFonts w:ascii="Calibri" w:hAnsi="Calibri"/>
              </w:rPr>
            </w:pPr>
            <w:r w:rsidRPr="00FD752D">
              <w:rPr>
                <w:rFonts w:ascii="Calibri" w:hAnsi="Calibri"/>
              </w:rPr>
              <w:t>ACCT 205 Elementary Accounting I</w:t>
            </w:r>
          </w:p>
        </w:tc>
        <w:tc>
          <w:tcPr>
            <w:tcW w:w="4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FD752D">
            <w:pPr>
              <w:rPr>
                <w:rFonts w:ascii="Calibri" w:hAnsi="Calibri"/>
              </w:rPr>
            </w:pPr>
            <w:r w:rsidRPr="00FD752D">
              <w:rPr>
                <w:rFonts w:ascii="Calibri" w:hAnsi="Calibri"/>
              </w:rPr>
              <w:t>Financial Accounting</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FD752D">
            <w:pPr>
              <w:rPr>
                <w:rFonts w:ascii="Calibri" w:hAnsi="Calibri"/>
              </w:rPr>
            </w:pPr>
            <w:r w:rsidRPr="00FD752D">
              <w:rPr>
                <w:rFonts w:ascii="Calibri" w:hAnsi="Calibri"/>
              </w:rPr>
              <w:t>3</w:t>
            </w:r>
          </w:p>
        </w:tc>
      </w:tr>
      <w:tr w:rsidR="00FD752D" w:rsidRPr="00FD752D" w:rsidTr="00FD752D">
        <w:trPr>
          <w:trHeight w:val="364"/>
        </w:trPr>
        <w:tc>
          <w:tcPr>
            <w:tcW w:w="3456"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hideMark/>
          </w:tcPr>
          <w:p w:rsidR="00FD752D" w:rsidRPr="00FD752D" w:rsidRDefault="00FD752D" w:rsidP="00FD752D">
            <w:pPr>
              <w:rPr>
                <w:rFonts w:ascii="Calibri" w:hAnsi="Calibri"/>
              </w:rPr>
            </w:pPr>
            <w:r w:rsidRPr="00FD752D">
              <w:rPr>
                <w:rFonts w:ascii="Calibri" w:hAnsi="Calibri"/>
                <w:b/>
                <w:bCs/>
              </w:rPr>
              <w:t>EQUIVALENT BPCC COURSE</w:t>
            </w:r>
          </w:p>
        </w:tc>
        <w:tc>
          <w:tcPr>
            <w:tcW w:w="427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hideMark/>
          </w:tcPr>
          <w:p w:rsidR="00FD752D" w:rsidRPr="00FD752D" w:rsidRDefault="00FD752D" w:rsidP="00FD752D">
            <w:pPr>
              <w:rPr>
                <w:rFonts w:ascii="Calibri" w:hAnsi="Calibri"/>
              </w:rPr>
            </w:pPr>
            <w:r w:rsidRPr="00FD752D">
              <w:rPr>
                <w:rFonts w:ascii="Calibri" w:hAnsi="Calibri"/>
                <w:b/>
                <w:bCs/>
              </w:rPr>
              <w:t>DSST (DANTES) Exam</w:t>
            </w:r>
          </w:p>
        </w:tc>
        <w:tc>
          <w:tcPr>
            <w:tcW w:w="22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hideMark/>
          </w:tcPr>
          <w:p w:rsidR="00FD752D" w:rsidRPr="00FD752D" w:rsidRDefault="00FD752D" w:rsidP="00FD752D">
            <w:pPr>
              <w:rPr>
                <w:rFonts w:ascii="Calibri" w:hAnsi="Calibri"/>
              </w:rPr>
            </w:pPr>
            <w:r w:rsidRPr="00FD752D">
              <w:rPr>
                <w:rFonts w:ascii="Calibri" w:hAnsi="Calibri"/>
                <w:b/>
                <w:bCs/>
              </w:rPr>
              <w:t>Hours</w:t>
            </w:r>
          </w:p>
        </w:tc>
      </w:tr>
      <w:tr w:rsidR="00FD752D" w:rsidRPr="00FD752D" w:rsidTr="00FD752D">
        <w:trPr>
          <w:trHeight w:val="582"/>
        </w:trPr>
        <w:tc>
          <w:tcPr>
            <w:tcW w:w="3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FD752D">
            <w:pPr>
              <w:rPr>
                <w:rFonts w:ascii="Calibri" w:hAnsi="Calibri"/>
              </w:rPr>
            </w:pPr>
            <w:r w:rsidRPr="00FD752D">
              <w:rPr>
                <w:rFonts w:ascii="Calibri" w:hAnsi="Calibri"/>
              </w:rPr>
              <w:t>BADM 105 General Business Administration</w:t>
            </w:r>
          </w:p>
        </w:tc>
        <w:tc>
          <w:tcPr>
            <w:tcW w:w="4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FD752D">
            <w:pPr>
              <w:rPr>
                <w:rFonts w:ascii="Calibri" w:hAnsi="Calibri"/>
              </w:rPr>
            </w:pPr>
            <w:r w:rsidRPr="00FD752D">
              <w:rPr>
                <w:rFonts w:ascii="Calibri" w:hAnsi="Calibri"/>
              </w:rPr>
              <w:t>Introduction to Business</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FD752D">
            <w:pPr>
              <w:rPr>
                <w:rFonts w:ascii="Calibri" w:hAnsi="Calibri"/>
              </w:rPr>
            </w:pPr>
            <w:r w:rsidRPr="00FD752D">
              <w:rPr>
                <w:rFonts w:ascii="Calibri" w:hAnsi="Calibri"/>
              </w:rPr>
              <w:t>3</w:t>
            </w:r>
          </w:p>
        </w:tc>
      </w:tr>
      <w:tr w:rsidR="00FD752D" w:rsidRPr="00FD752D" w:rsidTr="00FD752D">
        <w:trPr>
          <w:trHeight w:val="603"/>
        </w:trPr>
        <w:tc>
          <w:tcPr>
            <w:tcW w:w="3456"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hideMark/>
          </w:tcPr>
          <w:p w:rsidR="00FD752D" w:rsidRPr="00FD752D" w:rsidRDefault="00FD752D" w:rsidP="00FD752D">
            <w:pPr>
              <w:rPr>
                <w:rFonts w:ascii="Calibri" w:hAnsi="Calibri"/>
              </w:rPr>
            </w:pPr>
            <w:r w:rsidRPr="00FD752D">
              <w:rPr>
                <w:rFonts w:ascii="Calibri" w:hAnsi="Calibri"/>
                <w:b/>
                <w:bCs/>
              </w:rPr>
              <w:t>EQUIVALENT BPCC COURSE</w:t>
            </w:r>
          </w:p>
        </w:tc>
        <w:tc>
          <w:tcPr>
            <w:tcW w:w="427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hideMark/>
          </w:tcPr>
          <w:p w:rsidR="00FD752D" w:rsidRPr="00FD752D" w:rsidRDefault="00FD752D" w:rsidP="00FD752D">
            <w:pPr>
              <w:rPr>
                <w:rFonts w:ascii="Calibri" w:hAnsi="Calibri"/>
              </w:rPr>
            </w:pPr>
            <w:r w:rsidRPr="00FD752D">
              <w:rPr>
                <w:rFonts w:ascii="Calibri" w:hAnsi="Calibri"/>
                <w:b/>
                <w:bCs/>
              </w:rPr>
              <w:t>National Information Technology (IT) Certificates</w:t>
            </w:r>
          </w:p>
        </w:tc>
        <w:tc>
          <w:tcPr>
            <w:tcW w:w="22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hideMark/>
          </w:tcPr>
          <w:p w:rsidR="00FD752D" w:rsidRPr="00FD752D" w:rsidRDefault="00FD752D" w:rsidP="00FD752D">
            <w:pPr>
              <w:rPr>
                <w:rFonts w:ascii="Calibri" w:hAnsi="Calibri"/>
              </w:rPr>
            </w:pPr>
            <w:r w:rsidRPr="00FD752D">
              <w:rPr>
                <w:rFonts w:ascii="Calibri" w:hAnsi="Calibri"/>
                <w:b/>
                <w:bCs/>
              </w:rPr>
              <w:t>Hours</w:t>
            </w:r>
          </w:p>
        </w:tc>
      </w:tr>
      <w:tr w:rsidR="00FD752D" w:rsidRPr="00FD752D" w:rsidTr="00FD752D">
        <w:trPr>
          <w:trHeight w:val="1433"/>
        </w:trPr>
        <w:tc>
          <w:tcPr>
            <w:tcW w:w="3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FD752D">
            <w:pPr>
              <w:rPr>
                <w:rFonts w:ascii="Calibri" w:hAnsi="Calibri"/>
              </w:rPr>
            </w:pPr>
            <w:r w:rsidRPr="00FD752D">
              <w:rPr>
                <w:rFonts w:ascii="Calibri" w:hAnsi="Calibri"/>
              </w:rPr>
              <w:t>CIT 114 Microsoft Windows</w:t>
            </w:r>
          </w:p>
        </w:tc>
        <w:tc>
          <w:tcPr>
            <w:tcW w:w="4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FD752D">
            <w:pPr>
              <w:rPr>
                <w:rFonts w:ascii="Calibri" w:hAnsi="Calibri"/>
              </w:rPr>
            </w:pPr>
            <w:r w:rsidRPr="00FD752D">
              <w:rPr>
                <w:rFonts w:ascii="Calibri" w:hAnsi="Calibri"/>
              </w:rPr>
              <w:t>72-680 TS: Windows 7, Configuring</w:t>
            </w:r>
          </w:p>
          <w:p w:rsidR="00FD752D" w:rsidRPr="00FD752D" w:rsidRDefault="00FD752D" w:rsidP="00FD752D">
            <w:pPr>
              <w:rPr>
                <w:rFonts w:ascii="Calibri" w:hAnsi="Calibri"/>
              </w:rPr>
            </w:pPr>
            <w:r w:rsidRPr="00FD752D">
              <w:rPr>
                <w:rFonts w:ascii="Calibri" w:hAnsi="Calibri"/>
                <w:b/>
                <w:bCs/>
              </w:rPr>
              <w:t>OR</w:t>
            </w:r>
          </w:p>
          <w:p w:rsidR="00FD752D" w:rsidRPr="00FD752D" w:rsidRDefault="00FD752D" w:rsidP="00FD752D">
            <w:pPr>
              <w:rPr>
                <w:rFonts w:ascii="Calibri" w:hAnsi="Calibri"/>
              </w:rPr>
            </w:pPr>
            <w:r w:rsidRPr="00FD752D">
              <w:rPr>
                <w:rFonts w:ascii="Calibri" w:hAnsi="Calibri"/>
              </w:rPr>
              <w:t>72-620 TS: Configuring Microsoft Windows Vista Client</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FD752D">
            <w:pPr>
              <w:rPr>
                <w:rFonts w:ascii="Calibri" w:hAnsi="Calibri"/>
              </w:rPr>
            </w:pPr>
            <w:r w:rsidRPr="00FD752D">
              <w:rPr>
                <w:rFonts w:ascii="Calibri" w:hAnsi="Calibri"/>
              </w:rPr>
              <w:t>3</w:t>
            </w:r>
          </w:p>
        </w:tc>
      </w:tr>
    </w:tbl>
    <w:p w:rsidR="00FD752D" w:rsidRDefault="00FD752D" w:rsidP="00D22047">
      <w:pPr>
        <w:rPr>
          <w:rFonts w:ascii="Calibri" w:hAnsi="Calibri"/>
        </w:rPr>
      </w:pPr>
    </w:p>
    <w:p w:rsidR="00FD752D" w:rsidRDefault="00FD752D" w:rsidP="00D22047">
      <w:pPr>
        <w:rPr>
          <w:rFonts w:ascii="Calibri" w:hAnsi="Calibri"/>
        </w:rPr>
      </w:pPr>
    </w:p>
    <w:p w:rsidR="00FD752D" w:rsidRDefault="00FD752D" w:rsidP="00D22047">
      <w:pPr>
        <w:rPr>
          <w:rFonts w:ascii="Calibri" w:hAnsi="Calibri"/>
        </w:rPr>
      </w:pPr>
      <w:r w:rsidRPr="00FD752D">
        <w:rPr>
          <w:rFonts w:ascii="Calibri" w:hAnsi="Calibri"/>
          <w:b/>
        </w:rPr>
        <w:t>Ivy Tech Community College (IN)</w:t>
      </w:r>
      <w:r>
        <w:rPr>
          <w:rFonts w:ascii="Calibri" w:hAnsi="Calibri"/>
        </w:rPr>
        <w:t xml:space="preserve"> – was one of the first colleges in the country to complete a comprehensive crosswalk around every national certification.</w:t>
      </w:r>
    </w:p>
    <w:p w:rsidR="00D22047" w:rsidRPr="00D31BA7" w:rsidRDefault="00D22047" w:rsidP="00D22047">
      <w:pPr>
        <w:rPr>
          <w:rFonts w:ascii="Calibri" w:hAnsi="Calibri"/>
        </w:rPr>
      </w:pPr>
    </w:p>
    <w:tbl>
      <w:tblPr>
        <w:tblW w:w="9448" w:type="dxa"/>
        <w:tblCellMar>
          <w:left w:w="0" w:type="dxa"/>
          <w:right w:w="0" w:type="dxa"/>
        </w:tblCellMar>
        <w:tblLook w:val="0600" w:firstRow="0" w:lastRow="0" w:firstColumn="0" w:lastColumn="0" w:noHBand="1" w:noVBand="1"/>
      </w:tblPr>
      <w:tblGrid>
        <w:gridCol w:w="4940"/>
        <w:gridCol w:w="4508"/>
      </w:tblGrid>
      <w:tr w:rsidR="00FD752D" w:rsidRPr="00FD752D" w:rsidTr="0005275E">
        <w:trPr>
          <w:trHeight w:val="432"/>
        </w:trPr>
        <w:tc>
          <w:tcPr>
            <w:tcW w:w="49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center"/>
            <w:hideMark/>
          </w:tcPr>
          <w:p w:rsidR="00FD752D" w:rsidRPr="00FD752D" w:rsidRDefault="00FD752D" w:rsidP="00FD752D">
            <w:pPr>
              <w:jc w:val="center"/>
              <w:rPr>
                <w:rFonts w:ascii="Calibri" w:hAnsi="Calibri"/>
              </w:rPr>
            </w:pPr>
            <w:r w:rsidRPr="00FD752D">
              <w:rPr>
                <w:rFonts w:ascii="Calibri" w:hAnsi="Calibri"/>
                <w:b/>
                <w:bCs/>
              </w:rPr>
              <w:t>Accounting Certifications</w:t>
            </w:r>
          </w:p>
        </w:tc>
        <w:tc>
          <w:tcPr>
            <w:tcW w:w="450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center"/>
            <w:hideMark/>
          </w:tcPr>
          <w:p w:rsidR="00FD752D" w:rsidRPr="00FD752D" w:rsidRDefault="00FD752D" w:rsidP="00FD752D">
            <w:pPr>
              <w:jc w:val="center"/>
              <w:rPr>
                <w:rFonts w:ascii="Calibri" w:hAnsi="Calibri"/>
              </w:rPr>
            </w:pPr>
            <w:r w:rsidRPr="00FD752D">
              <w:rPr>
                <w:rFonts w:ascii="Calibri" w:hAnsi="Calibri"/>
                <w:b/>
                <w:bCs/>
              </w:rPr>
              <w:t>Ivy Tech Courses</w:t>
            </w:r>
          </w:p>
        </w:tc>
      </w:tr>
      <w:tr w:rsidR="00FD752D" w:rsidRPr="00FD752D" w:rsidTr="0005275E">
        <w:trPr>
          <w:trHeight w:val="720"/>
        </w:trPr>
        <w:tc>
          <w:tcPr>
            <w:tcW w:w="4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FD752D">
            <w:pPr>
              <w:rPr>
                <w:rFonts w:ascii="Calibri" w:hAnsi="Calibri"/>
              </w:rPr>
            </w:pPr>
            <w:r w:rsidRPr="00FD752D">
              <w:rPr>
                <w:rFonts w:ascii="Calibri" w:hAnsi="Calibri"/>
              </w:rPr>
              <w:t>American Institute of Banking (AIB) Course 1000 Accounting 1 AND AIB Course 1010 Accounting II</w:t>
            </w:r>
          </w:p>
        </w:tc>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FD752D">
            <w:pPr>
              <w:rPr>
                <w:rFonts w:ascii="Calibri" w:hAnsi="Calibri"/>
              </w:rPr>
            </w:pPr>
            <w:r w:rsidRPr="00FD752D">
              <w:rPr>
                <w:rFonts w:ascii="Calibri" w:hAnsi="Calibri"/>
              </w:rPr>
              <w:t>ACCT 101 Financial Accounting</w:t>
            </w:r>
          </w:p>
          <w:p w:rsidR="00FD752D" w:rsidRPr="00FD752D" w:rsidRDefault="00FD752D" w:rsidP="00FD752D">
            <w:pPr>
              <w:rPr>
                <w:rFonts w:ascii="Calibri" w:hAnsi="Calibri"/>
              </w:rPr>
            </w:pPr>
            <w:r w:rsidRPr="00FD752D">
              <w:rPr>
                <w:rFonts w:ascii="Calibri" w:hAnsi="Calibri"/>
              </w:rPr>
              <w:t> </w:t>
            </w:r>
          </w:p>
        </w:tc>
      </w:tr>
      <w:tr w:rsidR="00FD752D" w:rsidRPr="00FD752D" w:rsidTr="0005275E">
        <w:trPr>
          <w:trHeight w:val="720"/>
        </w:trPr>
        <w:tc>
          <w:tcPr>
            <w:tcW w:w="4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05275E">
            <w:pPr>
              <w:rPr>
                <w:rFonts w:ascii="Calibri" w:hAnsi="Calibri"/>
              </w:rPr>
            </w:pPr>
            <w:r w:rsidRPr="00FD752D">
              <w:rPr>
                <w:rFonts w:ascii="Calibri" w:hAnsi="Calibri"/>
              </w:rPr>
              <w:t>American Institute of Professional Bookkeeping (AIPB) - Certified Bookkeeper</w:t>
            </w:r>
          </w:p>
        </w:tc>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D752D" w:rsidRPr="00FD752D" w:rsidRDefault="00FD752D" w:rsidP="00FD752D">
            <w:pPr>
              <w:rPr>
                <w:rFonts w:ascii="Calibri" w:hAnsi="Calibri"/>
              </w:rPr>
            </w:pPr>
            <w:r w:rsidRPr="00FD752D">
              <w:rPr>
                <w:rFonts w:ascii="Calibri" w:hAnsi="Calibri"/>
              </w:rPr>
              <w:t xml:space="preserve">ACCT 101 Financial Accounting I </w:t>
            </w:r>
          </w:p>
          <w:p w:rsidR="00FD752D" w:rsidRPr="00FD752D" w:rsidRDefault="00FD752D" w:rsidP="00FD752D">
            <w:pPr>
              <w:rPr>
                <w:rFonts w:ascii="Calibri" w:hAnsi="Calibri"/>
              </w:rPr>
            </w:pPr>
            <w:r w:rsidRPr="00FD752D">
              <w:rPr>
                <w:rFonts w:ascii="Calibri" w:hAnsi="Calibri"/>
              </w:rPr>
              <w:t>ACCT 106 Payroll Accounting</w:t>
            </w:r>
          </w:p>
          <w:p w:rsidR="00FD752D" w:rsidRPr="00FD752D" w:rsidRDefault="00FD752D" w:rsidP="00FD752D">
            <w:pPr>
              <w:rPr>
                <w:rFonts w:ascii="Calibri" w:hAnsi="Calibri"/>
              </w:rPr>
            </w:pPr>
            <w:r w:rsidRPr="00FD752D">
              <w:rPr>
                <w:rFonts w:ascii="Calibri" w:hAnsi="Calibri"/>
              </w:rPr>
              <w:t> </w:t>
            </w:r>
          </w:p>
        </w:tc>
      </w:tr>
      <w:tr w:rsidR="00FD752D" w:rsidRPr="00FD752D" w:rsidTr="0005275E">
        <w:trPr>
          <w:trHeight w:val="432"/>
        </w:trPr>
        <w:tc>
          <w:tcPr>
            <w:tcW w:w="494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0" w:type="dxa"/>
              <w:right w:w="15" w:type="dxa"/>
            </w:tcMar>
            <w:vAlign w:val="center"/>
          </w:tcPr>
          <w:p w:rsidR="00FD752D" w:rsidRPr="00FD752D" w:rsidRDefault="00FD752D" w:rsidP="00FD752D">
            <w:pPr>
              <w:jc w:val="center"/>
              <w:rPr>
                <w:rFonts w:ascii="Calibri" w:hAnsi="Calibri"/>
                <w:b/>
              </w:rPr>
            </w:pPr>
            <w:r w:rsidRPr="00FD752D">
              <w:rPr>
                <w:rFonts w:ascii="Calibri" w:hAnsi="Calibri"/>
                <w:b/>
              </w:rPr>
              <w:t>Manufacturing Certifications</w:t>
            </w:r>
          </w:p>
        </w:tc>
        <w:tc>
          <w:tcPr>
            <w:tcW w:w="45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0" w:type="dxa"/>
              <w:right w:w="15" w:type="dxa"/>
            </w:tcMar>
            <w:vAlign w:val="center"/>
          </w:tcPr>
          <w:p w:rsidR="00FD752D" w:rsidRPr="00FD752D" w:rsidRDefault="00FD752D" w:rsidP="00FD752D">
            <w:pPr>
              <w:jc w:val="center"/>
              <w:rPr>
                <w:rFonts w:ascii="Calibri" w:hAnsi="Calibri"/>
                <w:b/>
              </w:rPr>
            </w:pPr>
            <w:r w:rsidRPr="00FD752D">
              <w:rPr>
                <w:rFonts w:ascii="Calibri" w:hAnsi="Calibri"/>
                <w:b/>
              </w:rPr>
              <w:t>Ivy Tech Course</w:t>
            </w:r>
          </w:p>
        </w:tc>
      </w:tr>
      <w:tr w:rsidR="00FD752D" w:rsidRPr="00FD752D" w:rsidTr="0005275E">
        <w:trPr>
          <w:trHeight w:val="720"/>
        </w:trPr>
        <w:tc>
          <w:tcPr>
            <w:tcW w:w="4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D752D" w:rsidRPr="00FD752D" w:rsidRDefault="00FD752D" w:rsidP="00FD752D">
            <w:pPr>
              <w:rPr>
                <w:rFonts w:ascii="Calibri" w:hAnsi="Calibri"/>
              </w:rPr>
            </w:pPr>
            <w:r>
              <w:rPr>
                <w:rFonts w:ascii="Calibri" w:hAnsi="Calibri"/>
              </w:rPr>
              <w:t>Society of Manufacturing Engineers – Certified Manufacturing Technologies</w:t>
            </w:r>
          </w:p>
        </w:tc>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D752D" w:rsidRPr="00FD752D" w:rsidRDefault="00FD752D" w:rsidP="00FD752D">
            <w:pPr>
              <w:rPr>
                <w:rFonts w:ascii="Calibri" w:hAnsi="Calibri"/>
              </w:rPr>
            </w:pPr>
            <w:r>
              <w:rPr>
                <w:rFonts w:ascii="Calibri" w:hAnsi="Calibri"/>
              </w:rPr>
              <w:t>ADMF 115 Materials and Processes for Manufacturing</w:t>
            </w:r>
          </w:p>
        </w:tc>
      </w:tr>
      <w:tr w:rsidR="00FD752D" w:rsidRPr="00FD752D" w:rsidTr="0005275E">
        <w:trPr>
          <w:trHeight w:val="720"/>
        </w:trPr>
        <w:tc>
          <w:tcPr>
            <w:tcW w:w="4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D752D" w:rsidRDefault="0005275E" w:rsidP="00FD752D">
            <w:pPr>
              <w:rPr>
                <w:rFonts w:ascii="Calibri" w:hAnsi="Calibri"/>
              </w:rPr>
            </w:pPr>
            <w:r>
              <w:rPr>
                <w:rFonts w:ascii="Calibri" w:hAnsi="Calibri"/>
              </w:rPr>
              <w:lastRenderedPageBreak/>
              <w:t>MSSC Certified Logistics Associate CLA Assessment</w:t>
            </w:r>
          </w:p>
          <w:p w:rsidR="0005275E" w:rsidRDefault="0005275E" w:rsidP="0005275E">
            <w:pPr>
              <w:jc w:val="center"/>
              <w:rPr>
                <w:rFonts w:ascii="Calibri" w:hAnsi="Calibri"/>
              </w:rPr>
            </w:pPr>
            <w:r>
              <w:rPr>
                <w:rFonts w:ascii="Calibri" w:hAnsi="Calibri"/>
              </w:rPr>
              <w:t>and</w:t>
            </w:r>
          </w:p>
          <w:p w:rsidR="0005275E" w:rsidRPr="00FD752D" w:rsidRDefault="0005275E" w:rsidP="00FD752D">
            <w:pPr>
              <w:rPr>
                <w:rFonts w:ascii="Calibri" w:hAnsi="Calibri"/>
              </w:rPr>
            </w:pPr>
            <w:r>
              <w:rPr>
                <w:rFonts w:ascii="Calibri" w:hAnsi="Calibri"/>
              </w:rPr>
              <w:t>MSSC Certified Logistics Technician CLT Assessment</w:t>
            </w:r>
          </w:p>
        </w:tc>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D752D" w:rsidRPr="00FD752D" w:rsidRDefault="0005275E" w:rsidP="00FD752D">
            <w:pPr>
              <w:rPr>
                <w:rFonts w:ascii="Calibri" w:hAnsi="Calibri"/>
              </w:rPr>
            </w:pPr>
            <w:r>
              <w:rPr>
                <w:rFonts w:ascii="Calibri" w:hAnsi="Calibri"/>
              </w:rPr>
              <w:t>ADMF 119 Logistics in Manufacturing</w:t>
            </w:r>
          </w:p>
        </w:tc>
      </w:tr>
    </w:tbl>
    <w:p w:rsidR="00D22047" w:rsidRDefault="00D22047" w:rsidP="00C36415">
      <w:pPr>
        <w:rPr>
          <w:rFonts w:ascii="Calibri" w:hAnsi="Calibri"/>
        </w:rPr>
      </w:pPr>
    </w:p>
    <w:p w:rsidR="0005275E" w:rsidRPr="00D31BA7" w:rsidRDefault="0005275E" w:rsidP="00C36415">
      <w:pPr>
        <w:rPr>
          <w:rFonts w:ascii="Calibri" w:hAnsi="Calibri"/>
        </w:rPr>
      </w:pPr>
    </w:p>
    <w:p w:rsidR="00C36415" w:rsidRPr="0005275E" w:rsidRDefault="00C36415" w:rsidP="00C36415">
      <w:pPr>
        <w:rPr>
          <w:rFonts w:ascii="Calibri" w:hAnsi="Calibri"/>
          <w:b/>
          <w:smallCaps/>
          <w:color w:val="7030A0"/>
        </w:rPr>
      </w:pPr>
      <w:r w:rsidRPr="0005275E">
        <w:rPr>
          <w:rFonts w:ascii="Calibri" w:hAnsi="Calibri"/>
          <w:b/>
          <w:smallCaps/>
          <w:color w:val="7030A0"/>
        </w:rPr>
        <w:t>Portfolio Assessment</w:t>
      </w:r>
    </w:p>
    <w:p w:rsidR="00C36415" w:rsidRPr="00D31BA7" w:rsidRDefault="00C36415" w:rsidP="00C36415">
      <w:pPr>
        <w:rPr>
          <w:rFonts w:ascii="Calibri" w:hAnsi="Calibri"/>
        </w:rPr>
      </w:pPr>
      <w:r w:rsidRPr="00D31BA7">
        <w:rPr>
          <w:rFonts w:ascii="Calibri" w:hAnsi="Calibri"/>
        </w:rPr>
        <w:t xml:space="preserve">A PLA portfolio is a detailed documentation illustrating college-level learning.  The documentation varies by course and may include: examples of documents developed or materials made (like a machined part) at work or during some civic engagement,  a self-assessment, an essay or oral interview explaining knowledge and experience, awards and honors, and certifications showing completion of workshops or seminars offered by professional organizations, business and industry or government agencies.   Preparation and content of the portfolio are the responsibility of the student and must be of sufficient in breadth and depth to validate the student’s stated learning and provide the evaluator(s) with qualitative evidence for evaluation.  College advisors, designated faculty, staff member or subject matter experts may assist the student in the portfolio </w:t>
      </w:r>
      <w:r w:rsidR="005273E8">
        <w:rPr>
          <w:rFonts w:ascii="Calibri" w:hAnsi="Calibri"/>
        </w:rPr>
        <w:t xml:space="preserve">development </w:t>
      </w:r>
      <w:r w:rsidRPr="00D31BA7">
        <w:rPr>
          <w:rFonts w:ascii="Calibri" w:hAnsi="Calibri"/>
        </w:rPr>
        <w:t>processes and procedures.</w:t>
      </w:r>
    </w:p>
    <w:p w:rsidR="00C36415" w:rsidRPr="00D31BA7" w:rsidRDefault="00C36415" w:rsidP="00C36415">
      <w:pPr>
        <w:rPr>
          <w:rFonts w:ascii="Calibri" w:hAnsi="Calibri"/>
        </w:rPr>
      </w:pPr>
    </w:p>
    <w:p w:rsidR="00C36415" w:rsidRPr="00D31BA7" w:rsidRDefault="00C36415" w:rsidP="00C36415">
      <w:pPr>
        <w:rPr>
          <w:rFonts w:ascii="Calibri" w:hAnsi="Calibri"/>
        </w:rPr>
      </w:pPr>
      <w:r w:rsidRPr="00D31BA7">
        <w:rPr>
          <w:rFonts w:ascii="Calibri" w:hAnsi="Calibri"/>
        </w:rPr>
        <w:t xml:space="preserve">Once the portfolio is submitted it is evaluated by designated faculty member, a subject matter expert or a college designated Portfolio Assessment Team to determine if the student has submitted sufficient documentation to demonstrate attainment and mastery of the specific course learning outcomes and/or technical competencies.  </w:t>
      </w:r>
      <w:r w:rsidR="0005275E">
        <w:rPr>
          <w:rFonts w:ascii="Calibri" w:hAnsi="Calibri"/>
        </w:rPr>
        <w:t>Like challenge exams, b</w:t>
      </w:r>
      <w:r w:rsidRPr="00D31BA7">
        <w:rPr>
          <w:rFonts w:ascii="Calibri" w:hAnsi="Calibri"/>
        </w:rPr>
        <w:t>est practices in portfolio assessment typically utilize a rubric or matrix that includes: identification of course learning outcomes, techniques for assessing each learning outcome, and a scoring technique for validating mastery.</w:t>
      </w:r>
    </w:p>
    <w:p w:rsidR="00C36415" w:rsidRDefault="00C36415" w:rsidP="00C36415">
      <w:pPr>
        <w:rPr>
          <w:rFonts w:ascii="Calibri" w:hAnsi="Calibri"/>
        </w:rPr>
      </w:pPr>
    </w:p>
    <w:p w:rsidR="00C646B4" w:rsidRDefault="00C646B4" w:rsidP="00C36415">
      <w:pPr>
        <w:rPr>
          <w:rFonts w:ascii="Calibri" w:hAnsi="Calibri"/>
        </w:rPr>
      </w:pPr>
    </w:p>
    <w:p w:rsidR="00C646B4" w:rsidRDefault="00C646B4" w:rsidP="00C36415">
      <w:pPr>
        <w:rPr>
          <w:rFonts w:ascii="Calibri" w:hAnsi="Calibri"/>
        </w:rPr>
      </w:pPr>
    </w:p>
    <w:p w:rsidR="00C646B4" w:rsidRPr="00C521C6" w:rsidRDefault="00C646B4" w:rsidP="00C36415">
      <w:pPr>
        <w:rPr>
          <w:rFonts w:ascii="Calibri" w:hAnsi="Calibri"/>
          <w:sz w:val="16"/>
          <w:szCs w:val="16"/>
        </w:rPr>
      </w:pPr>
      <w:r w:rsidRPr="00C521C6">
        <w:rPr>
          <w:rFonts w:ascii="Calibri" w:hAnsi="Calibri"/>
          <w:sz w:val="16"/>
          <w:szCs w:val="16"/>
        </w:rPr>
        <w:t>July 13, 2015</w:t>
      </w:r>
    </w:p>
    <w:sectPr w:rsidR="00C646B4" w:rsidRPr="00C521C6">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8C" w:rsidRDefault="0082668C" w:rsidP="00C36415">
      <w:r>
        <w:separator/>
      </w:r>
    </w:p>
  </w:endnote>
  <w:endnote w:type="continuationSeparator" w:id="0">
    <w:p w:rsidR="0082668C" w:rsidRDefault="0082668C" w:rsidP="00C3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15" w:rsidRPr="00A65261" w:rsidRDefault="00C36415" w:rsidP="00A65261">
    <w:pPr>
      <w:pStyle w:val="Footer"/>
      <w:rPr>
        <w:rFonts w:ascii="Times New Roman" w:hAnsi="Times New Roman"/>
      </w:rPr>
    </w:pPr>
    <w:r>
      <w:rPr>
        <w:rFonts w:ascii="Calibri" w:hAnsi="Calibri"/>
      </w:rPr>
      <w:tab/>
    </w:r>
    <w:r w:rsidRPr="00A65261">
      <w:rPr>
        <w:rFonts w:ascii="Times New Roman" w:hAnsi="Times New Roman"/>
      </w:rPr>
      <w:t xml:space="preserve"> </w:t>
    </w:r>
    <w:r w:rsidRPr="00A65261">
      <w:rPr>
        <w:rFonts w:ascii="Calibri" w:hAnsi="Calibri"/>
      </w:rPr>
      <w:fldChar w:fldCharType="begin"/>
    </w:r>
    <w:r w:rsidRPr="00A65261">
      <w:rPr>
        <w:rFonts w:ascii="Calibri" w:hAnsi="Calibri"/>
      </w:rPr>
      <w:instrText xml:space="preserve"> PAGE   \* MERGEFORMAT </w:instrText>
    </w:r>
    <w:r w:rsidRPr="00A65261">
      <w:rPr>
        <w:rFonts w:ascii="Calibri" w:hAnsi="Calibri"/>
      </w:rPr>
      <w:fldChar w:fldCharType="separate"/>
    </w:r>
    <w:r w:rsidR="006217AB">
      <w:rPr>
        <w:rFonts w:ascii="Calibri" w:hAnsi="Calibri"/>
        <w:noProof/>
      </w:rPr>
      <w:t>8</w:t>
    </w:r>
    <w:r w:rsidRPr="00A65261">
      <w:rPr>
        <w:rFonts w:ascii="Calibri" w:hAnsi="Calibri"/>
      </w:rPr>
      <w:fldChar w:fldCharType="end"/>
    </w:r>
  </w:p>
  <w:p w:rsidR="00C36415" w:rsidRDefault="00C36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15" w:rsidRPr="007F36CC" w:rsidRDefault="00C36415" w:rsidP="00C05C9B">
    <w:pPr>
      <w:pStyle w:val="Footer"/>
      <w:jc w:val="right"/>
      <w:rPr>
        <w:rFonts w:ascii="Calibri" w:hAnsi="Calibri"/>
      </w:rPr>
    </w:pPr>
    <w:r w:rsidRPr="007F36CC">
      <w:rPr>
        <w:rFonts w:ascii="Calibri" w:hAnsi="Calibri"/>
      </w:rPr>
      <w:t xml:space="preserve"> </w:t>
    </w:r>
    <w:r w:rsidRPr="007F36CC">
      <w:rPr>
        <w:rFonts w:ascii="Calibri" w:hAnsi="Calibri"/>
      </w:rPr>
      <w:fldChar w:fldCharType="begin"/>
    </w:r>
    <w:r w:rsidRPr="007F36CC">
      <w:rPr>
        <w:rFonts w:ascii="Calibri" w:hAnsi="Calibri"/>
      </w:rPr>
      <w:instrText xml:space="preserve"> PAGE   \* MERGEFORMAT </w:instrText>
    </w:r>
    <w:r w:rsidRPr="007F36CC">
      <w:rPr>
        <w:rFonts w:ascii="Calibri" w:hAnsi="Calibri"/>
      </w:rPr>
      <w:fldChar w:fldCharType="separate"/>
    </w:r>
    <w:r>
      <w:rPr>
        <w:rFonts w:ascii="Calibri" w:hAnsi="Calibri"/>
        <w:noProof/>
      </w:rPr>
      <w:t>9</w:t>
    </w:r>
    <w:r w:rsidRPr="007F36CC">
      <w:rPr>
        <w:rFonts w:ascii="Calibri" w:hAnsi="Calibri"/>
      </w:rPr>
      <w:fldChar w:fldCharType="end"/>
    </w:r>
  </w:p>
  <w:p w:rsidR="00C36415" w:rsidRPr="007F36CC" w:rsidRDefault="00C36415" w:rsidP="007F36CC">
    <w:pPr>
      <w:pStyle w:val="Footer"/>
    </w:pPr>
  </w:p>
  <w:p w:rsidR="00C36415" w:rsidRDefault="00C36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8C" w:rsidRDefault="0082668C" w:rsidP="00C36415">
      <w:r>
        <w:separator/>
      </w:r>
    </w:p>
  </w:footnote>
  <w:footnote w:type="continuationSeparator" w:id="0">
    <w:p w:rsidR="0082668C" w:rsidRDefault="0082668C" w:rsidP="00C36415">
      <w:r>
        <w:continuationSeparator/>
      </w:r>
    </w:p>
  </w:footnote>
  <w:footnote w:id="1">
    <w:p w:rsidR="004334EB" w:rsidRDefault="004334EB">
      <w:pPr>
        <w:pStyle w:val="FootnoteText"/>
      </w:pPr>
      <w:r>
        <w:rPr>
          <w:rStyle w:val="FootnoteReference"/>
        </w:rPr>
        <w:footnoteRef/>
      </w:r>
      <w:r>
        <w:t xml:space="preserve"> </w:t>
      </w:r>
      <w:proofErr w:type="spellStart"/>
      <w:r w:rsidRPr="004334EB">
        <w:rPr>
          <w:rFonts w:ascii="Calibri" w:hAnsi="Calibri"/>
          <w:sz w:val="18"/>
          <w:szCs w:val="18"/>
        </w:rPr>
        <w:t>Carnevale</w:t>
      </w:r>
      <w:proofErr w:type="spellEnd"/>
      <w:r w:rsidRPr="004334EB">
        <w:rPr>
          <w:rFonts w:ascii="Calibri" w:hAnsi="Calibri"/>
          <w:sz w:val="18"/>
          <w:szCs w:val="18"/>
        </w:rPr>
        <w:t xml:space="preserve">, A., Smith, N. and </w:t>
      </w:r>
      <w:proofErr w:type="spellStart"/>
      <w:r w:rsidRPr="004334EB">
        <w:rPr>
          <w:rFonts w:ascii="Calibri" w:hAnsi="Calibri"/>
          <w:sz w:val="18"/>
          <w:szCs w:val="18"/>
        </w:rPr>
        <w:t>Strohl</w:t>
      </w:r>
      <w:proofErr w:type="spellEnd"/>
      <w:r w:rsidRPr="004334EB">
        <w:rPr>
          <w:rFonts w:ascii="Calibri" w:hAnsi="Calibri"/>
          <w:sz w:val="18"/>
          <w:szCs w:val="18"/>
        </w:rPr>
        <w:t>, J, “Help Wanted,” Center on Education and the Workforce, Georgetown University, (2010) https://cew.georgetown.edu/report/help-wanted/</w:t>
      </w:r>
    </w:p>
  </w:footnote>
  <w:footnote w:id="2">
    <w:p w:rsidR="00C36415" w:rsidRPr="00E62C20" w:rsidRDefault="00C36415" w:rsidP="00C36415">
      <w:pPr>
        <w:rPr>
          <w:rFonts w:ascii="Calibri" w:hAnsi="Calibri"/>
          <w:sz w:val="18"/>
          <w:szCs w:val="18"/>
        </w:rPr>
      </w:pPr>
      <w:r>
        <w:rPr>
          <w:rStyle w:val="FootnoteReference"/>
        </w:rPr>
        <w:footnoteRef/>
      </w:r>
      <w:r>
        <w:t xml:space="preserve"> </w:t>
      </w:r>
      <w:proofErr w:type="gramStart"/>
      <w:r w:rsidRPr="00E62C20">
        <w:rPr>
          <w:rFonts w:ascii="Calibri" w:hAnsi="Calibri"/>
          <w:sz w:val="18"/>
          <w:szCs w:val="18"/>
        </w:rPr>
        <w:t>National Center for Public Policy and Higher Education (2011, June).</w:t>
      </w:r>
      <w:proofErr w:type="gramEnd"/>
      <w:r w:rsidRPr="00E62C20">
        <w:rPr>
          <w:rFonts w:ascii="Calibri" w:hAnsi="Calibri"/>
          <w:sz w:val="18"/>
          <w:szCs w:val="18"/>
        </w:rPr>
        <w:t xml:space="preserve"> Affordability and transfer: Critical to</w:t>
      </w:r>
      <w:r>
        <w:rPr>
          <w:rFonts w:ascii="Calibri" w:hAnsi="Calibri"/>
          <w:sz w:val="18"/>
          <w:szCs w:val="18"/>
        </w:rPr>
        <w:t xml:space="preserve"> </w:t>
      </w:r>
      <w:r w:rsidRPr="00E62C20">
        <w:rPr>
          <w:rFonts w:ascii="Calibri" w:hAnsi="Calibri"/>
          <w:sz w:val="18"/>
          <w:szCs w:val="18"/>
        </w:rPr>
        <w:t>increasing baccalaureate degree completion. Retrieved October 27, 2011, from</w:t>
      </w:r>
      <w:r>
        <w:rPr>
          <w:rFonts w:ascii="Calibri" w:hAnsi="Calibri"/>
          <w:sz w:val="18"/>
          <w:szCs w:val="18"/>
        </w:rPr>
        <w:t xml:space="preserve"> </w:t>
      </w:r>
      <w:r w:rsidRPr="00E62C20">
        <w:rPr>
          <w:rFonts w:ascii="Calibri" w:hAnsi="Calibri"/>
          <w:sz w:val="18"/>
          <w:szCs w:val="18"/>
        </w:rPr>
        <w:t>http://www.highereducation.org/reports/pa_at/index.shtml</w:t>
      </w:r>
    </w:p>
  </w:footnote>
  <w:footnote w:id="3">
    <w:p w:rsidR="00C36415" w:rsidRPr="00E62C20" w:rsidRDefault="00C36415" w:rsidP="00C36415">
      <w:pPr>
        <w:rPr>
          <w:rFonts w:ascii="Calibri" w:hAnsi="Calibri"/>
          <w:sz w:val="18"/>
          <w:szCs w:val="18"/>
        </w:rPr>
      </w:pPr>
      <w:r w:rsidRPr="00E62C20">
        <w:rPr>
          <w:rStyle w:val="FootnoteReference"/>
          <w:rFonts w:ascii="Calibri" w:hAnsi="Calibri"/>
          <w:sz w:val="18"/>
          <w:szCs w:val="18"/>
        </w:rPr>
        <w:footnoteRef/>
      </w:r>
      <w:r w:rsidRPr="00E62C20">
        <w:rPr>
          <w:rFonts w:ascii="Calibri" w:hAnsi="Calibri"/>
          <w:sz w:val="18"/>
          <w:szCs w:val="18"/>
        </w:rPr>
        <w:t xml:space="preserve"> National Center for Higher Education Management Systems - Information Center for Higher Education</w:t>
      </w:r>
    </w:p>
    <w:p w:rsidR="00C36415" w:rsidRPr="00E62C20" w:rsidRDefault="00C36415" w:rsidP="00C36415">
      <w:pPr>
        <w:rPr>
          <w:rFonts w:ascii="Calibri" w:hAnsi="Calibri"/>
          <w:sz w:val="18"/>
          <w:szCs w:val="18"/>
        </w:rPr>
      </w:pPr>
      <w:proofErr w:type="gramStart"/>
      <w:r w:rsidRPr="00E62C20">
        <w:rPr>
          <w:rFonts w:ascii="Calibri" w:hAnsi="Calibri"/>
          <w:sz w:val="18"/>
          <w:szCs w:val="18"/>
        </w:rPr>
        <w:t>Policymaking and Analysis (2009).</w:t>
      </w:r>
      <w:proofErr w:type="gramEnd"/>
      <w:r w:rsidRPr="00E62C20">
        <w:rPr>
          <w:rFonts w:ascii="Calibri" w:hAnsi="Calibri"/>
          <w:sz w:val="18"/>
          <w:szCs w:val="18"/>
        </w:rPr>
        <w:t xml:space="preserve"> Progress and completion: Graduation rates. Retrieved October 27, 2011, from</w:t>
      </w:r>
    </w:p>
    <w:p w:rsidR="00C36415" w:rsidRPr="00E62C20" w:rsidRDefault="00C36415" w:rsidP="00C36415">
      <w:pPr>
        <w:rPr>
          <w:rFonts w:ascii="Calibri" w:hAnsi="Calibri"/>
          <w:sz w:val="18"/>
          <w:szCs w:val="18"/>
        </w:rPr>
      </w:pPr>
      <w:r w:rsidRPr="00E62C20">
        <w:rPr>
          <w:rFonts w:ascii="Calibri" w:hAnsi="Calibri"/>
          <w:sz w:val="18"/>
          <w:szCs w:val="18"/>
        </w:rPr>
        <w:t>http://www.higheredinfo.org/dbrowser/index.php?measure=19</w:t>
      </w:r>
    </w:p>
  </w:footnote>
  <w:footnote w:id="4">
    <w:p w:rsidR="00C36415" w:rsidRPr="00E62C20" w:rsidRDefault="00C36415" w:rsidP="00C36415">
      <w:pPr>
        <w:rPr>
          <w:rFonts w:ascii="Calibri" w:hAnsi="Calibri"/>
          <w:sz w:val="18"/>
          <w:szCs w:val="18"/>
        </w:rPr>
      </w:pPr>
      <w:r w:rsidRPr="00E62C20">
        <w:rPr>
          <w:rStyle w:val="FootnoteReference"/>
          <w:rFonts w:ascii="Calibri" w:hAnsi="Calibri"/>
          <w:sz w:val="18"/>
          <w:szCs w:val="18"/>
        </w:rPr>
        <w:footnoteRef/>
      </w:r>
      <w:r w:rsidRPr="00E62C20">
        <w:rPr>
          <w:rFonts w:ascii="Calibri" w:hAnsi="Calibri"/>
          <w:sz w:val="18"/>
          <w:szCs w:val="18"/>
        </w:rPr>
        <w:t xml:space="preserve"> </w:t>
      </w:r>
      <w:proofErr w:type="gramStart"/>
      <w:r w:rsidRPr="00E62C20">
        <w:rPr>
          <w:rFonts w:ascii="Calibri" w:hAnsi="Calibri"/>
          <w:sz w:val="18"/>
          <w:szCs w:val="18"/>
        </w:rPr>
        <w:t>College Board Advocacy and Policy Center (2011).</w:t>
      </w:r>
      <w:proofErr w:type="gramEnd"/>
      <w:r w:rsidRPr="00E62C20">
        <w:rPr>
          <w:rFonts w:ascii="Calibri" w:hAnsi="Calibri"/>
          <w:sz w:val="18"/>
          <w:szCs w:val="18"/>
        </w:rPr>
        <w:t xml:space="preserve"> The college completion agenda</w:t>
      </w:r>
      <w:r>
        <w:rPr>
          <w:rFonts w:ascii="Calibri" w:hAnsi="Calibri"/>
          <w:sz w:val="18"/>
          <w:szCs w:val="18"/>
        </w:rPr>
        <w:t xml:space="preserve"> 2010 progress report executive </w:t>
      </w:r>
      <w:r w:rsidRPr="00E62C20">
        <w:rPr>
          <w:rFonts w:ascii="Calibri" w:hAnsi="Calibri"/>
          <w:sz w:val="18"/>
          <w:szCs w:val="18"/>
        </w:rPr>
        <w:t>summary. Retrieved October 27, 2011, from</w:t>
      </w:r>
    </w:p>
    <w:p w:rsidR="00C36415" w:rsidRDefault="00C36415" w:rsidP="007C7F3D">
      <w:r w:rsidRPr="00E62C20">
        <w:rPr>
          <w:rFonts w:ascii="Calibri" w:hAnsi="Calibri"/>
          <w:sz w:val="18"/>
          <w:szCs w:val="18"/>
        </w:rPr>
        <w:t>http://completionagenda.collegeboard.org/sites/default/files/reports_pdf/Progress_Executive_Summary.pdf</w:t>
      </w:r>
    </w:p>
  </w:footnote>
  <w:footnote w:id="5">
    <w:p w:rsidR="007C7F3D" w:rsidRDefault="007C7F3D">
      <w:pPr>
        <w:pStyle w:val="FootnoteText"/>
      </w:pPr>
      <w:r>
        <w:rPr>
          <w:rStyle w:val="FootnoteReference"/>
        </w:rPr>
        <w:footnoteRef/>
      </w:r>
      <w:r>
        <w:t xml:space="preserve"> </w:t>
      </w:r>
      <w:r w:rsidRPr="007C7F3D">
        <w:rPr>
          <w:rFonts w:ascii="Calibri" w:hAnsi="Calibri"/>
          <w:sz w:val="18"/>
          <w:szCs w:val="18"/>
        </w:rPr>
        <w:t xml:space="preserve">Klein-Collins, R. (2010). </w:t>
      </w:r>
      <w:proofErr w:type="gramStart"/>
      <w:r w:rsidRPr="007C7F3D">
        <w:rPr>
          <w:rFonts w:ascii="Calibri" w:hAnsi="Calibri"/>
          <w:sz w:val="18"/>
          <w:szCs w:val="18"/>
        </w:rPr>
        <w:t>Fueling the race to postsecondary success: A 48-institution study of prior learning assessment and adult student outcomes.</w:t>
      </w:r>
      <w:proofErr w:type="gramEnd"/>
      <w:r w:rsidRPr="007C7F3D">
        <w:rPr>
          <w:rFonts w:ascii="Calibri" w:hAnsi="Calibri"/>
          <w:sz w:val="18"/>
          <w:szCs w:val="18"/>
        </w:rPr>
        <w:t xml:space="preserve"> Chicago, IL: Council for Adult and Experiential Learning. Retrieved from http://www.cael.org/pdfs/PLA_Fueling-the-Race</w:t>
      </w:r>
    </w:p>
  </w:footnote>
  <w:footnote w:id="6">
    <w:p w:rsidR="00C36415" w:rsidRDefault="00C36415" w:rsidP="00C36415">
      <w:pPr>
        <w:pStyle w:val="FootnoteText1"/>
      </w:pPr>
      <w:r w:rsidRPr="00D31BA7">
        <w:rPr>
          <w:rStyle w:val="FootnoteReference1"/>
          <w:rFonts w:ascii="Calibri" w:hAnsi="Calibri"/>
        </w:rPr>
        <w:footnoteRef/>
      </w:r>
      <w:r w:rsidRPr="00D31BA7">
        <w:rPr>
          <w:rFonts w:ascii="Calibri" w:hAnsi="Calibri"/>
        </w:rPr>
        <w:t xml:space="preserve"> </w:t>
      </w:r>
      <w:proofErr w:type="gramStart"/>
      <w:r w:rsidRPr="00D31BA7">
        <w:rPr>
          <w:rFonts w:ascii="Calibri" w:hAnsi="Calibri"/>
          <w:sz w:val="18"/>
        </w:rPr>
        <w:t>Southern Association of Colleges and Schools – The Commission on Colleges.</w:t>
      </w:r>
      <w:proofErr w:type="gramEnd"/>
      <w:r w:rsidRPr="00D31BA7">
        <w:rPr>
          <w:rFonts w:ascii="Calibri" w:hAnsi="Calibri"/>
          <w:sz w:val="18"/>
        </w:rPr>
        <w:t xml:space="preserve"> </w:t>
      </w:r>
      <w:proofErr w:type="gramStart"/>
      <w:r w:rsidRPr="00D31BA7">
        <w:rPr>
          <w:rFonts w:ascii="Calibri" w:hAnsi="Calibri"/>
          <w:sz w:val="18"/>
        </w:rPr>
        <w:t>Policy 3.4.4 Principles of Accreditation.</w:t>
      </w:r>
      <w:proofErr w:type="gramEnd"/>
    </w:p>
  </w:footnote>
  <w:footnote w:id="7">
    <w:p w:rsidR="00C36415" w:rsidRDefault="00C36415" w:rsidP="00C36415">
      <w:pPr>
        <w:pStyle w:val="FootnoteText1"/>
      </w:pPr>
      <w:r w:rsidRPr="00D31BA7">
        <w:rPr>
          <w:rStyle w:val="FootnoteReference1"/>
          <w:rFonts w:ascii="Calibri" w:hAnsi="Calibri"/>
          <w:sz w:val="18"/>
        </w:rPr>
        <w:footnoteRef/>
      </w:r>
      <w:r w:rsidRPr="00D31BA7">
        <w:rPr>
          <w:rFonts w:ascii="Calibri" w:hAnsi="Calibri"/>
          <w:sz w:val="18"/>
        </w:rPr>
        <w:t xml:space="preserve"> </w:t>
      </w:r>
      <w:proofErr w:type="gramStart"/>
      <w:r w:rsidRPr="00D31BA7">
        <w:rPr>
          <w:rFonts w:ascii="Calibri" w:hAnsi="Calibri"/>
          <w:sz w:val="18"/>
        </w:rPr>
        <w:t>Southern Association of Colleges and Schools – The Commission on Colleges.</w:t>
      </w:r>
      <w:proofErr w:type="gramEnd"/>
      <w:r w:rsidRPr="00D31BA7">
        <w:rPr>
          <w:rFonts w:ascii="Calibri" w:hAnsi="Calibri"/>
          <w:sz w:val="18"/>
        </w:rPr>
        <w:t xml:space="preserve">  </w:t>
      </w:r>
      <w:proofErr w:type="gramStart"/>
      <w:r w:rsidRPr="00D31BA7">
        <w:rPr>
          <w:rFonts w:ascii="Calibri" w:hAnsi="Calibri"/>
          <w:sz w:val="18"/>
        </w:rPr>
        <w:t>Policy 3.4.8 from “Comprehensive Standards.”</w:t>
      </w:r>
      <w:proofErr w:type="gramEnd"/>
      <w:r w:rsidRPr="00D31BA7">
        <w:rPr>
          <w:rFonts w:ascii="Calibri" w:hAnsi="Calibri"/>
          <w:sz w:val="18"/>
        </w:rPr>
        <w:t xml:space="preserve"> </w:t>
      </w:r>
      <w:proofErr w:type="gramStart"/>
      <w:r w:rsidRPr="00D31BA7">
        <w:rPr>
          <w:rFonts w:ascii="Calibri" w:hAnsi="Calibri"/>
          <w:sz w:val="18"/>
        </w:rPr>
        <w:t>Principles of Accreditation.</w:t>
      </w:r>
      <w:proofErr w:type="gramEnd"/>
    </w:p>
  </w:footnote>
  <w:footnote w:id="8">
    <w:p w:rsidR="00102171" w:rsidRDefault="00102171">
      <w:pPr>
        <w:pStyle w:val="FootnoteText"/>
      </w:pPr>
      <w:r>
        <w:rPr>
          <w:rStyle w:val="FootnoteReference"/>
        </w:rPr>
        <w:footnoteRef/>
      </w:r>
      <w:r>
        <w:t xml:space="preserve"> </w:t>
      </w:r>
      <w:proofErr w:type="gramStart"/>
      <w:r w:rsidRPr="00754D60">
        <w:rPr>
          <w:rFonts w:ascii="Calibri" w:hAnsi="Calibri"/>
          <w:sz w:val="18"/>
          <w:szCs w:val="18"/>
        </w:rPr>
        <w:t>Southern Association of Colleges and Schools – The Commission on Colleges.</w:t>
      </w:r>
      <w:proofErr w:type="gramEnd"/>
      <w:r w:rsidRPr="00754D60">
        <w:rPr>
          <w:rFonts w:ascii="Calibri" w:hAnsi="Calibri"/>
          <w:sz w:val="18"/>
          <w:szCs w:val="18"/>
        </w:rPr>
        <w:t xml:space="preserve">  </w:t>
      </w:r>
      <w:proofErr w:type="gramStart"/>
      <w:r w:rsidRPr="00754D60">
        <w:rPr>
          <w:rFonts w:ascii="Calibri" w:hAnsi="Calibri"/>
          <w:sz w:val="18"/>
          <w:szCs w:val="18"/>
        </w:rPr>
        <w:t>Policy 3.4.10 from “Comprehensive Standards.”</w:t>
      </w:r>
      <w:proofErr w:type="gramEnd"/>
      <w:r w:rsidRPr="00754D60">
        <w:rPr>
          <w:rFonts w:ascii="Calibri" w:hAnsi="Calibri"/>
          <w:sz w:val="18"/>
          <w:szCs w:val="18"/>
        </w:rPr>
        <w:t xml:space="preserve"> </w:t>
      </w:r>
      <w:proofErr w:type="gramStart"/>
      <w:r w:rsidRPr="00754D60">
        <w:rPr>
          <w:rFonts w:ascii="Calibri" w:hAnsi="Calibri"/>
          <w:sz w:val="18"/>
          <w:szCs w:val="18"/>
        </w:rPr>
        <w:t>Principles of Accreditation.</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cs="Times New Roman" w:hint="default"/>
        <w:color w:val="000000"/>
        <w:position w:val="0"/>
        <w:sz w:val="22"/>
      </w:rPr>
    </w:lvl>
    <w:lvl w:ilvl="1">
      <w:start w:val="1"/>
      <w:numFmt w:val="lowerLetter"/>
      <w:suff w:val="nothing"/>
      <w:lvlText w:val="%2."/>
      <w:lvlJc w:val="left"/>
      <w:pPr>
        <w:ind w:firstLine="1440"/>
      </w:pPr>
      <w:rPr>
        <w:rFonts w:cs="Times New Roman" w:hint="default"/>
        <w:color w:val="000000"/>
        <w:position w:val="0"/>
        <w:sz w:val="22"/>
      </w:rPr>
    </w:lvl>
    <w:lvl w:ilvl="2">
      <w:start w:val="1"/>
      <w:numFmt w:val="lowerRoman"/>
      <w:suff w:val="nothing"/>
      <w:lvlText w:val="%3."/>
      <w:lvlJc w:val="left"/>
      <w:pPr>
        <w:ind w:firstLine="2160"/>
      </w:pPr>
      <w:rPr>
        <w:rFonts w:cs="Times New Roman" w:hint="default"/>
        <w:color w:val="000000"/>
        <w:position w:val="0"/>
        <w:sz w:val="22"/>
      </w:rPr>
    </w:lvl>
    <w:lvl w:ilvl="3">
      <w:start w:val="1"/>
      <w:numFmt w:val="decimal"/>
      <w:isLgl/>
      <w:suff w:val="nothing"/>
      <w:lvlText w:val="%4."/>
      <w:lvlJc w:val="left"/>
      <w:pPr>
        <w:ind w:firstLine="2880"/>
      </w:pPr>
      <w:rPr>
        <w:rFonts w:cs="Times New Roman" w:hint="default"/>
        <w:color w:val="000000"/>
        <w:position w:val="0"/>
        <w:sz w:val="22"/>
      </w:rPr>
    </w:lvl>
    <w:lvl w:ilvl="4">
      <w:start w:val="1"/>
      <w:numFmt w:val="lowerLetter"/>
      <w:suff w:val="nothing"/>
      <w:lvlText w:val="%5."/>
      <w:lvlJc w:val="left"/>
      <w:pPr>
        <w:ind w:firstLine="3600"/>
      </w:pPr>
      <w:rPr>
        <w:rFonts w:cs="Times New Roman" w:hint="default"/>
        <w:color w:val="000000"/>
        <w:position w:val="0"/>
        <w:sz w:val="22"/>
      </w:rPr>
    </w:lvl>
    <w:lvl w:ilvl="5">
      <w:start w:val="1"/>
      <w:numFmt w:val="lowerRoman"/>
      <w:suff w:val="nothing"/>
      <w:lvlText w:val="%6."/>
      <w:lvlJc w:val="left"/>
      <w:pPr>
        <w:ind w:firstLine="4320"/>
      </w:pPr>
      <w:rPr>
        <w:rFonts w:cs="Times New Roman" w:hint="default"/>
        <w:color w:val="000000"/>
        <w:position w:val="0"/>
        <w:sz w:val="22"/>
      </w:rPr>
    </w:lvl>
    <w:lvl w:ilvl="6">
      <w:start w:val="1"/>
      <w:numFmt w:val="decimal"/>
      <w:isLgl/>
      <w:suff w:val="nothing"/>
      <w:lvlText w:val="%7."/>
      <w:lvlJc w:val="left"/>
      <w:pPr>
        <w:ind w:firstLine="5040"/>
      </w:pPr>
      <w:rPr>
        <w:rFonts w:cs="Times New Roman" w:hint="default"/>
        <w:color w:val="000000"/>
        <w:position w:val="0"/>
        <w:sz w:val="22"/>
      </w:rPr>
    </w:lvl>
    <w:lvl w:ilvl="7">
      <w:start w:val="1"/>
      <w:numFmt w:val="lowerLetter"/>
      <w:suff w:val="nothing"/>
      <w:lvlText w:val="%8."/>
      <w:lvlJc w:val="left"/>
      <w:pPr>
        <w:ind w:firstLine="5760"/>
      </w:pPr>
      <w:rPr>
        <w:rFonts w:cs="Times New Roman" w:hint="default"/>
        <w:color w:val="000000"/>
        <w:position w:val="0"/>
        <w:sz w:val="22"/>
      </w:rPr>
    </w:lvl>
    <w:lvl w:ilvl="8">
      <w:start w:val="1"/>
      <w:numFmt w:val="lowerRoman"/>
      <w:suff w:val="nothing"/>
      <w:lvlText w:val="%9."/>
      <w:lvlJc w:val="left"/>
      <w:pPr>
        <w:ind w:firstLine="6480"/>
      </w:pPr>
      <w:rPr>
        <w:rFonts w:cs="Times New Roman" w:hint="default"/>
        <w:color w:val="000000"/>
        <w:position w:val="0"/>
        <w:sz w:val="22"/>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2"/>
      </w:rPr>
    </w:lvl>
    <w:lvl w:ilvl="1">
      <w:start w:val="1"/>
      <w:numFmt w:val="bullet"/>
      <w:suff w:val="nothing"/>
      <w:lvlText w:val="o"/>
      <w:lvlJc w:val="left"/>
      <w:pPr>
        <w:ind w:firstLine="1440"/>
      </w:pPr>
      <w:rPr>
        <w:rFonts w:ascii="Courier New" w:eastAsia="ヒラギノ角ゴ Pro W3" w:hAnsi="Courier New" w:hint="default"/>
        <w:color w:val="000000"/>
        <w:position w:val="0"/>
        <w:sz w:val="22"/>
      </w:rPr>
    </w:lvl>
    <w:lvl w:ilvl="2">
      <w:start w:val="1"/>
      <w:numFmt w:val="bullet"/>
      <w:suff w:val="nothing"/>
      <w:lvlText w:val=""/>
      <w:lvlJc w:val="left"/>
      <w:pPr>
        <w:ind w:firstLine="2160"/>
      </w:pPr>
      <w:rPr>
        <w:rFonts w:ascii="Wingdings" w:eastAsia="ヒラギノ角ゴ Pro W3" w:hAnsi="Wingdings" w:hint="default"/>
        <w:color w:val="000000"/>
        <w:position w:val="0"/>
        <w:sz w:val="22"/>
      </w:rPr>
    </w:lvl>
    <w:lvl w:ilvl="3">
      <w:start w:val="1"/>
      <w:numFmt w:val="bullet"/>
      <w:suff w:val="nothing"/>
      <w:lvlText w:val="·"/>
      <w:lvlJc w:val="left"/>
      <w:pPr>
        <w:ind w:firstLine="2880"/>
      </w:pPr>
      <w:rPr>
        <w:rFonts w:hint="default"/>
        <w:color w:val="000000"/>
        <w:position w:val="0"/>
        <w:sz w:val="22"/>
      </w:rPr>
    </w:lvl>
    <w:lvl w:ilvl="4">
      <w:start w:val="1"/>
      <w:numFmt w:val="bullet"/>
      <w:suff w:val="nothing"/>
      <w:lvlText w:val="o"/>
      <w:lvlJc w:val="left"/>
      <w:pPr>
        <w:ind w:firstLine="3600"/>
      </w:pPr>
      <w:rPr>
        <w:rFonts w:ascii="Courier New" w:eastAsia="ヒラギノ角ゴ Pro W3" w:hAnsi="Courier New" w:hint="default"/>
        <w:color w:val="000000"/>
        <w:position w:val="0"/>
        <w:sz w:val="22"/>
      </w:rPr>
    </w:lvl>
    <w:lvl w:ilvl="5">
      <w:start w:val="1"/>
      <w:numFmt w:val="bullet"/>
      <w:suff w:val="nothing"/>
      <w:lvlText w:val=""/>
      <w:lvlJc w:val="left"/>
      <w:pPr>
        <w:ind w:firstLine="4320"/>
      </w:pPr>
      <w:rPr>
        <w:rFonts w:ascii="Wingdings" w:eastAsia="ヒラギノ角ゴ Pro W3" w:hAnsi="Wingdings" w:hint="default"/>
        <w:color w:val="000000"/>
        <w:position w:val="0"/>
        <w:sz w:val="22"/>
      </w:rPr>
    </w:lvl>
    <w:lvl w:ilvl="6">
      <w:start w:val="1"/>
      <w:numFmt w:val="bullet"/>
      <w:suff w:val="nothing"/>
      <w:lvlText w:val="·"/>
      <w:lvlJc w:val="left"/>
      <w:pPr>
        <w:ind w:firstLine="5040"/>
      </w:pPr>
      <w:rPr>
        <w:rFonts w:hint="default"/>
        <w:color w:val="000000"/>
        <w:position w:val="0"/>
        <w:sz w:val="22"/>
      </w:rPr>
    </w:lvl>
    <w:lvl w:ilvl="7">
      <w:start w:val="1"/>
      <w:numFmt w:val="bullet"/>
      <w:suff w:val="nothing"/>
      <w:lvlText w:val="o"/>
      <w:lvlJc w:val="left"/>
      <w:pPr>
        <w:ind w:firstLine="5760"/>
      </w:pPr>
      <w:rPr>
        <w:rFonts w:ascii="Courier New" w:eastAsia="ヒラギノ角ゴ Pro W3" w:hAnsi="Courier New" w:hint="default"/>
        <w:color w:val="000000"/>
        <w:position w:val="0"/>
        <w:sz w:val="22"/>
      </w:rPr>
    </w:lvl>
    <w:lvl w:ilvl="8">
      <w:start w:val="1"/>
      <w:numFmt w:val="bullet"/>
      <w:suff w:val="nothing"/>
      <w:lvlText w:val=""/>
      <w:lvlJc w:val="left"/>
      <w:pPr>
        <w:ind w:firstLine="6480"/>
      </w:pPr>
      <w:rPr>
        <w:rFonts w:ascii="Wingdings" w:eastAsia="ヒラギノ角ゴ Pro W3" w:hAnsi="Wingdings" w:hint="default"/>
        <w:color w:val="000000"/>
        <w:position w:val="0"/>
        <w:sz w:val="22"/>
      </w:rPr>
    </w:lvl>
  </w:abstractNum>
  <w:abstractNum w:abstractNumId="2">
    <w:nsid w:val="00000003"/>
    <w:multiLevelType w:val="multilevel"/>
    <w:tmpl w:val="894EE875"/>
    <w:lvl w:ilvl="0">
      <w:start w:val="1"/>
      <w:numFmt w:val="decimal"/>
      <w:isLgl/>
      <w:lvlText w:val="%1."/>
      <w:lvlJc w:val="left"/>
      <w:pPr>
        <w:tabs>
          <w:tab w:val="num" w:pos="360"/>
        </w:tabs>
        <w:ind w:left="360" w:firstLine="360"/>
      </w:pPr>
      <w:rPr>
        <w:rFonts w:cs="Times New Roman" w:hint="default"/>
        <w:color w:val="000000"/>
        <w:position w:val="0"/>
        <w:sz w:val="22"/>
      </w:rPr>
    </w:lvl>
    <w:lvl w:ilvl="1">
      <w:start w:val="1"/>
      <w:numFmt w:val="lowerLetter"/>
      <w:suff w:val="nothing"/>
      <w:lvlText w:val="%2."/>
      <w:lvlJc w:val="left"/>
      <w:pPr>
        <w:ind w:firstLine="1440"/>
      </w:pPr>
      <w:rPr>
        <w:rFonts w:cs="Times New Roman" w:hint="default"/>
        <w:color w:val="000000"/>
        <w:position w:val="0"/>
        <w:sz w:val="22"/>
      </w:rPr>
    </w:lvl>
    <w:lvl w:ilvl="2">
      <w:start w:val="1"/>
      <w:numFmt w:val="lowerRoman"/>
      <w:suff w:val="nothing"/>
      <w:lvlText w:val="%3."/>
      <w:lvlJc w:val="left"/>
      <w:pPr>
        <w:ind w:firstLine="2160"/>
      </w:pPr>
      <w:rPr>
        <w:rFonts w:cs="Times New Roman" w:hint="default"/>
        <w:color w:val="000000"/>
        <w:position w:val="0"/>
        <w:sz w:val="22"/>
      </w:rPr>
    </w:lvl>
    <w:lvl w:ilvl="3">
      <w:start w:val="1"/>
      <w:numFmt w:val="decimal"/>
      <w:isLgl/>
      <w:suff w:val="nothing"/>
      <w:lvlText w:val="%4."/>
      <w:lvlJc w:val="left"/>
      <w:pPr>
        <w:ind w:firstLine="2880"/>
      </w:pPr>
      <w:rPr>
        <w:rFonts w:cs="Times New Roman" w:hint="default"/>
        <w:color w:val="000000"/>
        <w:position w:val="0"/>
        <w:sz w:val="22"/>
      </w:rPr>
    </w:lvl>
    <w:lvl w:ilvl="4">
      <w:start w:val="1"/>
      <w:numFmt w:val="lowerLetter"/>
      <w:suff w:val="nothing"/>
      <w:lvlText w:val="%5."/>
      <w:lvlJc w:val="left"/>
      <w:pPr>
        <w:ind w:firstLine="3600"/>
      </w:pPr>
      <w:rPr>
        <w:rFonts w:cs="Times New Roman" w:hint="default"/>
        <w:color w:val="000000"/>
        <w:position w:val="0"/>
        <w:sz w:val="22"/>
      </w:rPr>
    </w:lvl>
    <w:lvl w:ilvl="5">
      <w:start w:val="1"/>
      <w:numFmt w:val="lowerRoman"/>
      <w:suff w:val="nothing"/>
      <w:lvlText w:val="%6."/>
      <w:lvlJc w:val="left"/>
      <w:pPr>
        <w:ind w:firstLine="4320"/>
      </w:pPr>
      <w:rPr>
        <w:rFonts w:cs="Times New Roman" w:hint="default"/>
        <w:color w:val="000000"/>
        <w:position w:val="0"/>
        <w:sz w:val="22"/>
      </w:rPr>
    </w:lvl>
    <w:lvl w:ilvl="6">
      <w:start w:val="1"/>
      <w:numFmt w:val="decimal"/>
      <w:isLgl/>
      <w:suff w:val="nothing"/>
      <w:lvlText w:val="%7."/>
      <w:lvlJc w:val="left"/>
      <w:pPr>
        <w:ind w:firstLine="5040"/>
      </w:pPr>
      <w:rPr>
        <w:rFonts w:cs="Times New Roman" w:hint="default"/>
        <w:color w:val="000000"/>
        <w:position w:val="0"/>
        <w:sz w:val="22"/>
      </w:rPr>
    </w:lvl>
    <w:lvl w:ilvl="7">
      <w:start w:val="1"/>
      <w:numFmt w:val="lowerLetter"/>
      <w:suff w:val="nothing"/>
      <w:lvlText w:val="%8."/>
      <w:lvlJc w:val="left"/>
      <w:pPr>
        <w:ind w:firstLine="5760"/>
      </w:pPr>
      <w:rPr>
        <w:rFonts w:cs="Times New Roman" w:hint="default"/>
        <w:color w:val="000000"/>
        <w:position w:val="0"/>
        <w:sz w:val="22"/>
      </w:rPr>
    </w:lvl>
    <w:lvl w:ilvl="8">
      <w:start w:val="1"/>
      <w:numFmt w:val="lowerRoman"/>
      <w:suff w:val="nothing"/>
      <w:lvlText w:val="%9."/>
      <w:lvlJc w:val="left"/>
      <w:pPr>
        <w:ind w:firstLine="6480"/>
      </w:pPr>
      <w:rPr>
        <w:rFonts w:cs="Times New Roman" w:hint="default"/>
        <w:color w:val="000000"/>
        <w:position w:val="0"/>
        <w:sz w:val="22"/>
      </w:rPr>
    </w:lvl>
  </w:abstractNum>
  <w:abstractNum w:abstractNumId="3">
    <w:nsid w:val="01DA4884"/>
    <w:multiLevelType w:val="multilevel"/>
    <w:tmpl w:val="894EE873"/>
    <w:lvl w:ilvl="0">
      <w:start w:val="1"/>
      <w:numFmt w:val="decimal"/>
      <w:isLgl/>
      <w:lvlText w:val="%1."/>
      <w:lvlJc w:val="left"/>
      <w:pPr>
        <w:tabs>
          <w:tab w:val="num" w:pos="360"/>
        </w:tabs>
        <w:ind w:left="360" w:firstLine="360"/>
      </w:pPr>
      <w:rPr>
        <w:rFonts w:cs="Times New Roman" w:hint="default"/>
        <w:color w:val="000000"/>
        <w:position w:val="0"/>
        <w:sz w:val="22"/>
      </w:rPr>
    </w:lvl>
    <w:lvl w:ilvl="1">
      <w:start w:val="1"/>
      <w:numFmt w:val="lowerLetter"/>
      <w:suff w:val="nothing"/>
      <w:lvlText w:val="%2."/>
      <w:lvlJc w:val="left"/>
      <w:pPr>
        <w:ind w:firstLine="1440"/>
      </w:pPr>
      <w:rPr>
        <w:rFonts w:cs="Times New Roman" w:hint="default"/>
        <w:color w:val="000000"/>
        <w:position w:val="0"/>
        <w:sz w:val="22"/>
      </w:rPr>
    </w:lvl>
    <w:lvl w:ilvl="2">
      <w:start w:val="1"/>
      <w:numFmt w:val="lowerRoman"/>
      <w:suff w:val="nothing"/>
      <w:lvlText w:val="%3."/>
      <w:lvlJc w:val="left"/>
      <w:pPr>
        <w:ind w:firstLine="2160"/>
      </w:pPr>
      <w:rPr>
        <w:rFonts w:cs="Times New Roman" w:hint="default"/>
        <w:color w:val="000000"/>
        <w:position w:val="0"/>
        <w:sz w:val="22"/>
      </w:rPr>
    </w:lvl>
    <w:lvl w:ilvl="3">
      <w:start w:val="1"/>
      <w:numFmt w:val="decimal"/>
      <w:isLgl/>
      <w:suff w:val="nothing"/>
      <w:lvlText w:val="%4."/>
      <w:lvlJc w:val="left"/>
      <w:pPr>
        <w:ind w:firstLine="2880"/>
      </w:pPr>
      <w:rPr>
        <w:rFonts w:cs="Times New Roman" w:hint="default"/>
        <w:color w:val="000000"/>
        <w:position w:val="0"/>
        <w:sz w:val="22"/>
      </w:rPr>
    </w:lvl>
    <w:lvl w:ilvl="4">
      <w:start w:val="1"/>
      <w:numFmt w:val="lowerLetter"/>
      <w:suff w:val="nothing"/>
      <w:lvlText w:val="%5."/>
      <w:lvlJc w:val="left"/>
      <w:pPr>
        <w:ind w:firstLine="3600"/>
      </w:pPr>
      <w:rPr>
        <w:rFonts w:cs="Times New Roman" w:hint="default"/>
        <w:color w:val="000000"/>
        <w:position w:val="0"/>
        <w:sz w:val="22"/>
      </w:rPr>
    </w:lvl>
    <w:lvl w:ilvl="5">
      <w:start w:val="1"/>
      <w:numFmt w:val="lowerRoman"/>
      <w:suff w:val="nothing"/>
      <w:lvlText w:val="%6."/>
      <w:lvlJc w:val="left"/>
      <w:pPr>
        <w:ind w:firstLine="4320"/>
      </w:pPr>
      <w:rPr>
        <w:rFonts w:cs="Times New Roman" w:hint="default"/>
        <w:color w:val="000000"/>
        <w:position w:val="0"/>
        <w:sz w:val="22"/>
      </w:rPr>
    </w:lvl>
    <w:lvl w:ilvl="6">
      <w:start w:val="1"/>
      <w:numFmt w:val="decimal"/>
      <w:isLgl/>
      <w:suff w:val="nothing"/>
      <w:lvlText w:val="%7."/>
      <w:lvlJc w:val="left"/>
      <w:pPr>
        <w:ind w:firstLine="5040"/>
      </w:pPr>
      <w:rPr>
        <w:rFonts w:cs="Times New Roman" w:hint="default"/>
        <w:color w:val="000000"/>
        <w:position w:val="0"/>
        <w:sz w:val="22"/>
      </w:rPr>
    </w:lvl>
    <w:lvl w:ilvl="7">
      <w:start w:val="1"/>
      <w:numFmt w:val="lowerLetter"/>
      <w:suff w:val="nothing"/>
      <w:lvlText w:val="%8."/>
      <w:lvlJc w:val="left"/>
      <w:pPr>
        <w:ind w:firstLine="5760"/>
      </w:pPr>
      <w:rPr>
        <w:rFonts w:cs="Times New Roman" w:hint="default"/>
        <w:color w:val="000000"/>
        <w:position w:val="0"/>
        <w:sz w:val="22"/>
      </w:rPr>
    </w:lvl>
    <w:lvl w:ilvl="8">
      <w:start w:val="1"/>
      <w:numFmt w:val="lowerRoman"/>
      <w:suff w:val="nothing"/>
      <w:lvlText w:val="%9."/>
      <w:lvlJc w:val="left"/>
      <w:pPr>
        <w:ind w:firstLine="6480"/>
      </w:pPr>
      <w:rPr>
        <w:rFonts w:cs="Times New Roman" w:hint="default"/>
        <w:color w:val="000000"/>
        <w:position w:val="0"/>
        <w:sz w:val="22"/>
      </w:rPr>
    </w:lvl>
  </w:abstractNum>
  <w:abstractNum w:abstractNumId="4">
    <w:nsid w:val="0AB03EA3"/>
    <w:multiLevelType w:val="hybridMultilevel"/>
    <w:tmpl w:val="537C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33198"/>
    <w:multiLevelType w:val="hybridMultilevel"/>
    <w:tmpl w:val="B33C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D2D8A"/>
    <w:multiLevelType w:val="hybridMultilevel"/>
    <w:tmpl w:val="743A5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13D81"/>
    <w:multiLevelType w:val="hybridMultilevel"/>
    <w:tmpl w:val="8706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4A5F83"/>
    <w:multiLevelType w:val="multilevel"/>
    <w:tmpl w:val="FF5E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5E53AE"/>
    <w:multiLevelType w:val="hybridMultilevel"/>
    <w:tmpl w:val="00AC3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152BD0"/>
    <w:multiLevelType w:val="hybridMultilevel"/>
    <w:tmpl w:val="F988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304F9B"/>
    <w:multiLevelType w:val="multilevel"/>
    <w:tmpl w:val="894EE873"/>
    <w:lvl w:ilvl="0">
      <w:start w:val="1"/>
      <w:numFmt w:val="decimal"/>
      <w:isLgl/>
      <w:lvlText w:val="%1."/>
      <w:lvlJc w:val="left"/>
      <w:pPr>
        <w:tabs>
          <w:tab w:val="num" w:pos="360"/>
        </w:tabs>
        <w:ind w:left="360" w:firstLine="360"/>
      </w:pPr>
      <w:rPr>
        <w:rFonts w:cs="Times New Roman" w:hint="default"/>
        <w:color w:val="000000"/>
        <w:position w:val="0"/>
        <w:sz w:val="22"/>
      </w:rPr>
    </w:lvl>
    <w:lvl w:ilvl="1">
      <w:start w:val="1"/>
      <w:numFmt w:val="lowerLetter"/>
      <w:suff w:val="nothing"/>
      <w:lvlText w:val="%2."/>
      <w:lvlJc w:val="left"/>
      <w:pPr>
        <w:ind w:firstLine="1440"/>
      </w:pPr>
      <w:rPr>
        <w:rFonts w:cs="Times New Roman" w:hint="default"/>
        <w:color w:val="000000"/>
        <w:position w:val="0"/>
        <w:sz w:val="22"/>
      </w:rPr>
    </w:lvl>
    <w:lvl w:ilvl="2">
      <w:start w:val="1"/>
      <w:numFmt w:val="lowerRoman"/>
      <w:suff w:val="nothing"/>
      <w:lvlText w:val="%3."/>
      <w:lvlJc w:val="left"/>
      <w:pPr>
        <w:ind w:firstLine="2160"/>
      </w:pPr>
      <w:rPr>
        <w:rFonts w:cs="Times New Roman" w:hint="default"/>
        <w:color w:val="000000"/>
        <w:position w:val="0"/>
        <w:sz w:val="22"/>
      </w:rPr>
    </w:lvl>
    <w:lvl w:ilvl="3">
      <w:start w:val="1"/>
      <w:numFmt w:val="decimal"/>
      <w:isLgl/>
      <w:suff w:val="nothing"/>
      <w:lvlText w:val="%4."/>
      <w:lvlJc w:val="left"/>
      <w:pPr>
        <w:ind w:firstLine="2880"/>
      </w:pPr>
      <w:rPr>
        <w:rFonts w:cs="Times New Roman" w:hint="default"/>
        <w:color w:val="000000"/>
        <w:position w:val="0"/>
        <w:sz w:val="22"/>
      </w:rPr>
    </w:lvl>
    <w:lvl w:ilvl="4">
      <w:start w:val="1"/>
      <w:numFmt w:val="lowerLetter"/>
      <w:suff w:val="nothing"/>
      <w:lvlText w:val="%5."/>
      <w:lvlJc w:val="left"/>
      <w:pPr>
        <w:ind w:firstLine="3600"/>
      </w:pPr>
      <w:rPr>
        <w:rFonts w:cs="Times New Roman" w:hint="default"/>
        <w:color w:val="000000"/>
        <w:position w:val="0"/>
        <w:sz w:val="22"/>
      </w:rPr>
    </w:lvl>
    <w:lvl w:ilvl="5">
      <w:start w:val="1"/>
      <w:numFmt w:val="lowerRoman"/>
      <w:suff w:val="nothing"/>
      <w:lvlText w:val="%6."/>
      <w:lvlJc w:val="left"/>
      <w:pPr>
        <w:ind w:firstLine="4320"/>
      </w:pPr>
      <w:rPr>
        <w:rFonts w:cs="Times New Roman" w:hint="default"/>
        <w:color w:val="000000"/>
        <w:position w:val="0"/>
        <w:sz w:val="22"/>
      </w:rPr>
    </w:lvl>
    <w:lvl w:ilvl="6">
      <w:start w:val="1"/>
      <w:numFmt w:val="decimal"/>
      <w:isLgl/>
      <w:suff w:val="nothing"/>
      <w:lvlText w:val="%7."/>
      <w:lvlJc w:val="left"/>
      <w:pPr>
        <w:ind w:firstLine="5040"/>
      </w:pPr>
      <w:rPr>
        <w:rFonts w:cs="Times New Roman" w:hint="default"/>
        <w:color w:val="000000"/>
        <w:position w:val="0"/>
        <w:sz w:val="22"/>
      </w:rPr>
    </w:lvl>
    <w:lvl w:ilvl="7">
      <w:start w:val="1"/>
      <w:numFmt w:val="lowerLetter"/>
      <w:suff w:val="nothing"/>
      <w:lvlText w:val="%8."/>
      <w:lvlJc w:val="left"/>
      <w:pPr>
        <w:ind w:firstLine="5760"/>
      </w:pPr>
      <w:rPr>
        <w:rFonts w:cs="Times New Roman" w:hint="default"/>
        <w:color w:val="000000"/>
        <w:position w:val="0"/>
        <w:sz w:val="22"/>
      </w:rPr>
    </w:lvl>
    <w:lvl w:ilvl="8">
      <w:start w:val="1"/>
      <w:numFmt w:val="lowerRoman"/>
      <w:suff w:val="nothing"/>
      <w:lvlText w:val="%9."/>
      <w:lvlJc w:val="left"/>
      <w:pPr>
        <w:ind w:firstLine="6480"/>
      </w:pPr>
      <w:rPr>
        <w:rFonts w:cs="Times New Roman" w:hint="default"/>
        <w:color w:val="000000"/>
        <w:position w:val="0"/>
        <w:sz w:val="22"/>
      </w:rPr>
    </w:lvl>
  </w:abstractNum>
  <w:num w:numId="1">
    <w:abstractNumId w:val="0"/>
  </w:num>
  <w:num w:numId="2">
    <w:abstractNumId w:val="1"/>
  </w:num>
  <w:num w:numId="3">
    <w:abstractNumId w:val="2"/>
  </w:num>
  <w:num w:numId="4">
    <w:abstractNumId w:val="4"/>
  </w:num>
  <w:num w:numId="5">
    <w:abstractNumId w:val="11"/>
  </w:num>
  <w:num w:numId="6">
    <w:abstractNumId w:val="3"/>
  </w:num>
  <w:num w:numId="7">
    <w:abstractNumId w:val="9"/>
  </w:num>
  <w:num w:numId="8">
    <w:abstractNumId w:val="6"/>
  </w:num>
  <w:num w:numId="9">
    <w:abstractNumId w:val="8"/>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15"/>
    <w:rsid w:val="0000539E"/>
    <w:rsid w:val="0005275E"/>
    <w:rsid w:val="00061E3D"/>
    <w:rsid w:val="00084754"/>
    <w:rsid w:val="00102171"/>
    <w:rsid w:val="001064C2"/>
    <w:rsid w:val="00147661"/>
    <w:rsid w:val="00263A7F"/>
    <w:rsid w:val="002D1995"/>
    <w:rsid w:val="0032734B"/>
    <w:rsid w:val="0033264D"/>
    <w:rsid w:val="004334EB"/>
    <w:rsid w:val="00467D78"/>
    <w:rsid w:val="005273E8"/>
    <w:rsid w:val="005F2328"/>
    <w:rsid w:val="006043EF"/>
    <w:rsid w:val="006217AB"/>
    <w:rsid w:val="00664513"/>
    <w:rsid w:val="007260FC"/>
    <w:rsid w:val="00751B21"/>
    <w:rsid w:val="007C060E"/>
    <w:rsid w:val="007C0747"/>
    <w:rsid w:val="007C7F3D"/>
    <w:rsid w:val="0082668C"/>
    <w:rsid w:val="00854A75"/>
    <w:rsid w:val="008C2EC4"/>
    <w:rsid w:val="00904477"/>
    <w:rsid w:val="00937EF3"/>
    <w:rsid w:val="00950A9D"/>
    <w:rsid w:val="00A04F32"/>
    <w:rsid w:val="00B7172E"/>
    <w:rsid w:val="00B8604A"/>
    <w:rsid w:val="00BB1B0B"/>
    <w:rsid w:val="00C36415"/>
    <w:rsid w:val="00C50BF8"/>
    <w:rsid w:val="00C521C6"/>
    <w:rsid w:val="00C646B4"/>
    <w:rsid w:val="00C92307"/>
    <w:rsid w:val="00CE6422"/>
    <w:rsid w:val="00D07CD4"/>
    <w:rsid w:val="00D123C1"/>
    <w:rsid w:val="00D22047"/>
    <w:rsid w:val="00D3580C"/>
    <w:rsid w:val="00D77B2B"/>
    <w:rsid w:val="00EA7E50"/>
    <w:rsid w:val="00EC65A5"/>
    <w:rsid w:val="00F15D2A"/>
    <w:rsid w:val="00FD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w w:val="9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15"/>
    <w:rPr>
      <w:rFonts w:ascii="Lucida Grande" w:eastAsia="ヒラギノ角ゴ Pro W3" w:hAnsi="Lucida Grande" w:cs="Times New Roman"/>
      <w:color w:val="000000"/>
      <w:w w:val="1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rsid w:val="00C36415"/>
    <w:rPr>
      <w:color w:val="000000"/>
      <w:sz w:val="20"/>
      <w:vertAlign w:val="superscript"/>
    </w:rPr>
  </w:style>
  <w:style w:type="paragraph" w:customStyle="1" w:styleId="FootnoteText1">
    <w:name w:val="Footnote Text1"/>
    <w:rsid w:val="00C36415"/>
    <w:rPr>
      <w:rFonts w:ascii="Lucida Grande" w:eastAsia="ヒラギノ角ゴ Pro W3" w:hAnsi="Lucida Grande" w:cs="Times New Roman"/>
      <w:color w:val="000000"/>
      <w:w w:val="100"/>
      <w:sz w:val="20"/>
      <w:szCs w:val="20"/>
    </w:rPr>
  </w:style>
  <w:style w:type="paragraph" w:styleId="ListParagraph">
    <w:name w:val="List Paragraph"/>
    <w:basedOn w:val="Normal"/>
    <w:uiPriority w:val="34"/>
    <w:qFormat/>
    <w:rsid w:val="00C36415"/>
    <w:pPr>
      <w:ind w:left="720"/>
    </w:pPr>
    <w:rPr>
      <w:szCs w:val="20"/>
    </w:rPr>
  </w:style>
  <w:style w:type="character" w:customStyle="1" w:styleId="Hyperlink1">
    <w:name w:val="Hyperlink1"/>
    <w:rsid w:val="00C36415"/>
    <w:rPr>
      <w:color w:val="002ED8"/>
      <w:sz w:val="20"/>
      <w:u w:val="single"/>
    </w:rPr>
  </w:style>
  <w:style w:type="character" w:styleId="Strong">
    <w:name w:val="Strong"/>
    <w:basedOn w:val="DefaultParagraphFont"/>
    <w:uiPriority w:val="22"/>
    <w:qFormat/>
    <w:rsid w:val="00C36415"/>
    <w:rPr>
      <w:rFonts w:cs="Times New Roman"/>
      <w:b/>
      <w:bCs/>
    </w:rPr>
  </w:style>
  <w:style w:type="paragraph" w:styleId="Footer">
    <w:name w:val="footer"/>
    <w:basedOn w:val="Normal"/>
    <w:link w:val="FooterChar"/>
    <w:uiPriority w:val="99"/>
    <w:rsid w:val="00C36415"/>
    <w:pPr>
      <w:tabs>
        <w:tab w:val="center" w:pos="4680"/>
        <w:tab w:val="right" w:pos="9360"/>
      </w:tabs>
    </w:pPr>
  </w:style>
  <w:style w:type="character" w:customStyle="1" w:styleId="FooterChar">
    <w:name w:val="Footer Char"/>
    <w:basedOn w:val="DefaultParagraphFont"/>
    <w:link w:val="Footer"/>
    <w:uiPriority w:val="99"/>
    <w:rsid w:val="00C36415"/>
    <w:rPr>
      <w:rFonts w:ascii="Lucida Grande" w:eastAsia="ヒラギノ角ゴ Pro W3" w:hAnsi="Lucida Grande" w:cs="Times New Roman"/>
      <w:color w:val="000000"/>
      <w:w w:val="100"/>
      <w:szCs w:val="24"/>
    </w:rPr>
  </w:style>
  <w:style w:type="paragraph" w:styleId="FootnoteText">
    <w:name w:val="footnote text"/>
    <w:basedOn w:val="Normal"/>
    <w:link w:val="FootnoteTextChar"/>
    <w:uiPriority w:val="99"/>
    <w:rsid w:val="00C36415"/>
    <w:rPr>
      <w:sz w:val="20"/>
      <w:szCs w:val="20"/>
    </w:rPr>
  </w:style>
  <w:style w:type="character" w:customStyle="1" w:styleId="FootnoteTextChar">
    <w:name w:val="Footnote Text Char"/>
    <w:basedOn w:val="DefaultParagraphFont"/>
    <w:link w:val="FootnoteText"/>
    <w:uiPriority w:val="99"/>
    <w:rsid w:val="00C36415"/>
    <w:rPr>
      <w:rFonts w:ascii="Lucida Grande" w:eastAsia="ヒラギノ角ゴ Pro W3" w:hAnsi="Lucida Grande" w:cs="Times New Roman"/>
      <w:color w:val="000000"/>
      <w:w w:val="100"/>
      <w:sz w:val="20"/>
      <w:szCs w:val="20"/>
    </w:rPr>
  </w:style>
  <w:style w:type="character" w:styleId="FootnoteReference">
    <w:name w:val="footnote reference"/>
    <w:basedOn w:val="DefaultParagraphFont"/>
    <w:uiPriority w:val="99"/>
    <w:rsid w:val="00C36415"/>
    <w:rPr>
      <w:rFonts w:cs="Times New Roman"/>
      <w:vertAlign w:val="superscript"/>
    </w:rPr>
  </w:style>
  <w:style w:type="character" w:styleId="Hyperlink">
    <w:name w:val="Hyperlink"/>
    <w:basedOn w:val="DefaultParagraphFont"/>
    <w:uiPriority w:val="99"/>
    <w:unhideWhenUsed/>
    <w:rsid w:val="00C36415"/>
    <w:rPr>
      <w:rFonts w:cs="Times New Roman"/>
      <w:color w:val="0000FF"/>
      <w:u w:val="single"/>
    </w:rPr>
  </w:style>
  <w:style w:type="paragraph" w:styleId="Header">
    <w:name w:val="header"/>
    <w:basedOn w:val="Normal"/>
    <w:link w:val="HeaderChar"/>
    <w:uiPriority w:val="99"/>
    <w:unhideWhenUsed/>
    <w:rsid w:val="00C36415"/>
    <w:pPr>
      <w:tabs>
        <w:tab w:val="center" w:pos="4680"/>
        <w:tab w:val="right" w:pos="9360"/>
      </w:tabs>
    </w:pPr>
  </w:style>
  <w:style w:type="character" w:customStyle="1" w:styleId="HeaderChar">
    <w:name w:val="Header Char"/>
    <w:basedOn w:val="DefaultParagraphFont"/>
    <w:link w:val="Header"/>
    <w:uiPriority w:val="99"/>
    <w:rsid w:val="00C36415"/>
    <w:rPr>
      <w:rFonts w:ascii="Lucida Grande" w:eastAsia="ヒラギノ角ゴ Pro W3" w:hAnsi="Lucida Grande" w:cs="Times New Roman"/>
      <w:color w:val="000000"/>
      <w:w w:val="100"/>
      <w:szCs w:val="24"/>
    </w:rPr>
  </w:style>
  <w:style w:type="character" w:customStyle="1" w:styleId="apple-converted-space">
    <w:name w:val="apple-converted-space"/>
    <w:basedOn w:val="DefaultParagraphFont"/>
    <w:rsid w:val="00C92307"/>
  </w:style>
  <w:style w:type="character" w:styleId="Emphasis">
    <w:name w:val="Emphasis"/>
    <w:basedOn w:val="DefaultParagraphFont"/>
    <w:uiPriority w:val="20"/>
    <w:qFormat/>
    <w:rsid w:val="00C92307"/>
    <w:rPr>
      <w:i/>
      <w:iCs/>
    </w:rPr>
  </w:style>
  <w:style w:type="table" w:customStyle="1" w:styleId="GridTable1Light">
    <w:name w:val="Grid Table 1 Light"/>
    <w:basedOn w:val="TableNormal"/>
    <w:uiPriority w:val="46"/>
    <w:rsid w:val="00263A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63A7F"/>
    <w:pPr>
      <w:spacing w:before="100" w:beforeAutospacing="1" w:after="100" w:afterAutospacing="1"/>
    </w:pPr>
    <w:rPr>
      <w:rFonts w:ascii="Times New Roman" w:eastAsia="Times New Roman" w:hAnsi="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w w:val="9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15"/>
    <w:rPr>
      <w:rFonts w:ascii="Lucida Grande" w:eastAsia="ヒラギノ角ゴ Pro W3" w:hAnsi="Lucida Grande" w:cs="Times New Roman"/>
      <w:color w:val="000000"/>
      <w:w w:val="1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rsid w:val="00C36415"/>
    <w:rPr>
      <w:color w:val="000000"/>
      <w:sz w:val="20"/>
      <w:vertAlign w:val="superscript"/>
    </w:rPr>
  </w:style>
  <w:style w:type="paragraph" w:customStyle="1" w:styleId="FootnoteText1">
    <w:name w:val="Footnote Text1"/>
    <w:rsid w:val="00C36415"/>
    <w:rPr>
      <w:rFonts w:ascii="Lucida Grande" w:eastAsia="ヒラギノ角ゴ Pro W3" w:hAnsi="Lucida Grande" w:cs="Times New Roman"/>
      <w:color w:val="000000"/>
      <w:w w:val="100"/>
      <w:sz w:val="20"/>
      <w:szCs w:val="20"/>
    </w:rPr>
  </w:style>
  <w:style w:type="paragraph" w:styleId="ListParagraph">
    <w:name w:val="List Paragraph"/>
    <w:basedOn w:val="Normal"/>
    <w:uiPriority w:val="34"/>
    <w:qFormat/>
    <w:rsid w:val="00C36415"/>
    <w:pPr>
      <w:ind w:left="720"/>
    </w:pPr>
    <w:rPr>
      <w:szCs w:val="20"/>
    </w:rPr>
  </w:style>
  <w:style w:type="character" w:customStyle="1" w:styleId="Hyperlink1">
    <w:name w:val="Hyperlink1"/>
    <w:rsid w:val="00C36415"/>
    <w:rPr>
      <w:color w:val="002ED8"/>
      <w:sz w:val="20"/>
      <w:u w:val="single"/>
    </w:rPr>
  </w:style>
  <w:style w:type="character" w:styleId="Strong">
    <w:name w:val="Strong"/>
    <w:basedOn w:val="DefaultParagraphFont"/>
    <w:uiPriority w:val="22"/>
    <w:qFormat/>
    <w:rsid w:val="00C36415"/>
    <w:rPr>
      <w:rFonts w:cs="Times New Roman"/>
      <w:b/>
      <w:bCs/>
    </w:rPr>
  </w:style>
  <w:style w:type="paragraph" w:styleId="Footer">
    <w:name w:val="footer"/>
    <w:basedOn w:val="Normal"/>
    <w:link w:val="FooterChar"/>
    <w:uiPriority w:val="99"/>
    <w:rsid w:val="00C36415"/>
    <w:pPr>
      <w:tabs>
        <w:tab w:val="center" w:pos="4680"/>
        <w:tab w:val="right" w:pos="9360"/>
      </w:tabs>
    </w:pPr>
  </w:style>
  <w:style w:type="character" w:customStyle="1" w:styleId="FooterChar">
    <w:name w:val="Footer Char"/>
    <w:basedOn w:val="DefaultParagraphFont"/>
    <w:link w:val="Footer"/>
    <w:uiPriority w:val="99"/>
    <w:rsid w:val="00C36415"/>
    <w:rPr>
      <w:rFonts w:ascii="Lucida Grande" w:eastAsia="ヒラギノ角ゴ Pro W3" w:hAnsi="Lucida Grande" w:cs="Times New Roman"/>
      <w:color w:val="000000"/>
      <w:w w:val="100"/>
      <w:szCs w:val="24"/>
    </w:rPr>
  </w:style>
  <w:style w:type="paragraph" w:styleId="FootnoteText">
    <w:name w:val="footnote text"/>
    <w:basedOn w:val="Normal"/>
    <w:link w:val="FootnoteTextChar"/>
    <w:uiPriority w:val="99"/>
    <w:rsid w:val="00C36415"/>
    <w:rPr>
      <w:sz w:val="20"/>
      <w:szCs w:val="20"/>
    </w:rPr>
  </w:style>
  <w:style w:type="character" w:customStyle="1" w:styleId="FootnoteTextChar">
    <w:name w:val="Footnote Text Char"/>
    <w:basedOn w:val="DefaultParagraphFont"/>
    <w:link w:val="FootnoteText"/>
    <w:uiPriority w:val="99"/>
    <w:rsid w:val="00C36415"/>
    <w:rPr>
      <w:rFonts w:ascii="Lucida Grande" w:eastAsia="ヒラギノ角ゴ Pro W3" w:hAnsi="Lucida Grande" w:cs="Times New Roman"/>
      <w:color w:val="000000"/>
      <w:w w:val="100"/>
      <w:sz w:val="20"/>
      <w:szCs w:val="20"/>
    </w:rPr>
  </w:style>
  <w:style w:type="character" w:styleId="FootnoteReference">
    <w:name w:val="footnote reference"/>
    <w:basedOn w:val="DefaultParagraphFont"/>
    <w:uiPriority w:val="99"/>
    <w:rsid w:val="00C36415"/>
    <w:rPr>
      <w:rFonts w:cs="Times New Roman"/>
      <w:vertAlign w:val="superscript"/>
    </w:rPr>
  </w:style>
  <w:style w:type="character" w:styleId="Hyperlink">
    <w:name w:val="Hyperlink"/>
    <w:basedOn w:val="DefaultParagraphFont"/>
    <w:uiPriority w:val="99"/>
    <w:unhideWhenUsed/>
    <w:rsid w:val="00C36415"/>
    <w:rPr>
      <w:rFonts w:cs="Times New Roman"/>
      <w:color w:val="0000FF"/>
      <w:u w:val="single"/>
    </w:rPr>
  </w:style>
  <w:style w:type="paragraph" w:styleId="Header">
    <w:name w:val="header"/>
    <w:basedOn w:val="Normal"/>
    <w:link w:val="HeaderChar"/>
    <w:uiPriority w:val="99"/>
    <w:unhideWhenUsed/>
    <w:rsid w:val="00C36415"/>
    <w:pPr>
      <w:tabs>
        <w:tab w:val="center" w:pos="4680"/>
        <w:tab w:val="right" w:pos="9360"/>
      </w:tabs>
    </w:pPr>
  </w:style>
  <w:style w:type="character" w:customStyle="1" w:styleId="HeaderChar">
    <w:name w:val="Header Char"/>
    <w:basedOn w:val="DefaultParagraphFont"/>
    <w:link w:val="Header"/>
    <w:uiPriority w:val="99"/>
    <w:rsid w:val="00C36415"/>
    <w:rPr>
      <w:rFonts w:ascii="Lucida Grande" w:eastAsia="ヒラギノ角ゴ Pro W3" w:hAnsi="Lucida Grande" w:cs="Times New Roman"/>
      <w:color w:val="000000"/>
      <w:w w:val="100"/>
      <w:szCs w:val="24"/>
    </w:rPr>
  </w:style>
  <w:style w:type="character" w:customStyle="1" w:styleId="apple-converted-space">
    <w:name w:val="apple-converted-space"/>
    <w:basedOn w:val="DefaultParagraphFont"/>
    <w:rsid w:val="00C92307"/>
  </w:style>
  <w:style w:type="character" w:styleId="Emphasis">
    <w:name w:val="Emphasis"/>
    <w:basedOn w:val="DefaultParagraphFont"/>
    <w:uiPriority w:val="20"/>
    <w:qFormat/>
    <w:rsid w:val="00C92307"/>
    <w:rPr>
      <w:i/>
      <w:iCs/>
    </w:rPr>
  </w:style>
  <w:style w:type="table" w:customStyle="1" w:styleId="GridTable1Light">
    <w:name w:val="Grid Table 1 Light"/>
    <w:basedOn w:val="TableNormal"/>
    <w:uiPriority w:val="46"/>
    <w:rsid w:val="00263A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63A7F"/>
    <w:pPr>
      <w:spacing w:before="100" w:beforeAutospacing="1" w:after="100" w:afterAutospacing="1"/>
    </w:pPr>
    <w:rPr>
      <w:rFonts w:ascii="Times New Roman" w:eastAsia="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2206">
      <w:bodyDiv w:val="1"/>
      <w:marLeft w:val="0"/>
      <w:marRight w:val="0"/>
      <w:marTop w:val="0"/>
      <w:marBottom w:val="0"/>
      <w:divBdr>
        <w:top w:val="none" w:sz="0" w:space="0" w:color="auto"/>
        <w:left w:val="none" w:sz="0" w:space="0" w:color="auto"/>
        <w:bottom w:val="none" w:sz="0" w:space="0" w:color="auto"/>
        <w:right w:val="none" w:sz="0" w:space="0" w:color="auto"/>
      </w:divBdr>
    </w:div>
    <w:div w:id="330642140">
      <w:bodyDiv w:val="1"/>
      <w:marLeft w:val="0"/>
      <w:marRight w:val="0"/>
      <w:marTop w:val="0"/>
      <w:marBottom w:val="0"/>
      <w:divBdr>
        <w:top w:val="none" w:sz="0" w:space="0" w:color="auto"/>
        <w:left w:val="none" w:sz="0" w:space="0" w:color="auto"/>
        <w:bottom w:val="none" w:sz="0" w:space="0" w:color="auto"/>
        <w:right w:val="none" w:sz="0" w:space="0" w:color="auto"/>
      </w:divBdr>
    </w:div>
    <w:div w:id="678822315">
      <w:bodyDiv w:val="1"/>
      <w:marLeft w:val="0"/>
      <w:marRight w:val="0"/>
      <w:marTop w:val="0"/>
      <w:marBottom w:val="0"/>
      <w:divBdr>
        <w:top w:val="none" w:sz="0" w:space="0" w:color="auto"/>
        <w:left w:val="none" w:sz="0" w:space="0" w:color="auto"/>
        <w:bottom w:val="none" w:sz="0" w:space="0" w:color="auto"/>
        <w:right w:val="none" w:sz="0" w:space="0" w:color="auto"/>
      </w:divBdr>
    </w:div>
    <w:div w:id="793447913">
      <w:bodyDiv w:val="1"/>
      <w:marLeft w:val="0"/>
      <w:marRight w:val="0"/>
      <w:marTop w:val="0"/>
      <w:marBottom w:val="0"/>
      <w:divBdr>
        <w:top w:val="none" w:sz="0" w:space="0" w:color="auto"/>
        <w:left w:val="none" w:sz="0" w:space="0" w:color="auto"/>
        <w:bottom w:val="none" w:sz="0" w:space="0" w:color="auto"/>
        <w:right w:val="none" w:sz="0" w:space="0" w:color="auto"/>
      </w:divBdr>
    </w:div>
    <w:div w:id="831992988">
      <w:bodyDiv w:val="1"/>
      <w:marLeft w:val="0"/>
      <w:marRight w:val="0"/>
      <w:marTop w:val="0"/>
      <w:marBottom w:val="0"/>
      <w:divBdr>
        <w:top w:val="none" w:sz="0" w:space="0" w:color="auto"/>
        <w:left w:val="none" w:sz="0" w:space="0" w:color="auto"/>
        <w:bottom w:val="none" w:sz="0" w:space="0" w:color="auto"/>
        <w:right w:val="none" w:sz="0" w:space="0" w:color="auto"/>
      </w:divBdr>
    </w:div>
    <w:div w:id="1154030634">
      <w:bodyDiv w:val="1"/>
      <w:marLeft w:val="0"/>
      <w:marRight w:val="0"/>
      <w:marTop w:val="0"/>
      <w:marBottom w:val="0"/>
      <w:divBdr>
        <w:top w:val="none" w:sz="0" w:space="0" w:color="auto"/>
        <w:left w:val="none" w:sz="0" w:space="0" w:color="auto"/>
        <w:bottom w:val="none" w:sz="0" w:space="0" w:color="auto"/>
        <w:right w:val="none" w:sz="0" w:space="0" w:color="auto"/>
      </w:divBdr>
    </w:div>
    <w:div w:id="1177188014">
      <w:bodyDiv w:val="1"/>
      <w:marLeft w:val="0"/>
      <w:marRight w:val="0"/>
      <w:marTop w:val="0"/>
      <w:marBottom w:val="0"/>
      <w:divBdr>
        <w:top w:val="none" w:sz="0" w:space="0" w:color="auto"/>
        <w:left w:val="none" w:sz="0" w:space="0" w:color="auto"/>
        <w:bottom w:val="none" w:sz="0" w:space="0" w:color="auto"/>
        <w:right w:val="none" w:sz="0" w:space="0" w:color="auto"/>
      </w:divBdr>
    </w:div>
    <w:div w:id="1614246176">
      <w:bodyDiv w:val="1"/>
      <w:marLeft w:val="0"/>
      <w:marRight w:val="0"/>
      <w:marTop w:val="0"/>
      <w:marBottom w:val="0"/>
      <w:divBdr>
        <w:top w:val="none" w:sz="0" w:space="0" w:color="auto"/>
        <w:left w:val="none" w:sz="0" w:space="0" w:color="auto"/>
        <w:bottom w:val="none" w:sz="0" w:space="0" w:color="auto"/>
        <w:right w:val="none" w:sz="0" w:space="0" w:color="auto"/>
      </w:divBdr>
    </w:div>
    <w:div w:id="17812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legeboard.com/student/testing/ap/subjec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tcollegecredi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ep.collegeboard.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ib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EC14-1E85-4B36-A374-C6857FD2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18769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Miller</dc:creator>
  <cp:lastModifiedBy>PSharma</cp:lastModifiedBy>
  <cp:revision>2</cp:revision>
  <dcterms:created xsi:type="dcterms:W3CDTF">2015-08-20T18:03:00Z</dcterms:created>
  <dcterms:modified xsi:type="dcterms:W3CDTF">2015-08-20T18:03:00Z</dcterms:modified>
</cp:coreProperties>
</file>